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825" w:rsidRPr="00FD6C97" w:rsidRDefault="00760825" w:rsidP="001A7F04">
      <w:pPr>
        <w:jc w:val="center"/>
        <w:rPr>
          <w:rFonts w:ascii="Book Antiqua" w:hAnsi="Book Antiqua"/>
          <w:b/>
          <w:smallCaps/>
          <w:spacing w:val="-20"/>
          <w:sz w:val="32"/>
        </w:rPr>
      </w:pPr>
      <w:r w:rsidRPr="00FD6C97">
        <w:rPr>
          <w:rFonts w:ascii="Book Antiqua" w:hAnsi="Book Antiqua"/>
          <w:b/>
          <w:smallCaps/>
          <w:sz w:val="34"/>
        </w:rPr>
        <w:t>N</w:t>
      </w:r>
      <w:r w:rsidRPr="00FD6C97">
        <w:rPr>
          <w:rFonts w:ascii="Book Antiqua" w:hAnsi="Book Antiqua"/>
          <w:b/>
          <w:smallCaps/>
          <w:sz w:val="32"/>
        </w:rPr>
        <w:t xml:space="preserve">ancy </w:t>
      </w:r>
      <w:r w:rsidRPr="00FD6C97">
        <w:rPr>
          <w:rFonts w:ascii="Book Antiqua" w:hAnsi="Book Antiqua"/>
          <w:b/>
          <w:smallCaps/>
          <w:sz w:val="34"/>
        </w:rPr>
        <w:t>F</w:t>
      </w:r>
      <w:r w:rsidRPr="00FD6C97">
        <w:rPr>
          <w:rFonts w:ascii="Book Antiqua" w:hAnsi="Book Antiqua"/>
          <w:b/>
          <w:smallCaps/>
          <w:sz w:val="32"/>
        </w:rPr>
        <w:t>allon-</w:t>
      </w:r>
      <w:r w:rsidRPr="00FD6C97">
        <w:rPr>
          <w:rFonts w:ascii="Book Antiqua" w:hAnsi="Book Antiqua"/>
          <w:b/>
          <w:smallCaps/>
          <w:sz w:val="34"/>
        </w:rPr>
        <w:t>H</w:t>
      </w:r>
      <w:r w:rsidRPr="00FD6C97">
        <w:rPr>
          <w:rFonts w:ascii="Book Antiqua" w:hAnsi="Book Antiqua"/>
          <w:b/>
          <w:smallCaps/>
          <w:sz w:val="32"/>
        </w:rPr>
        <w:t xml:space="preserve">oule, </w:t>
      </w:r>
      <w:r w:rsidRPr="00FD6C97">
        <w:rPr>
          <w:rFonts w:ascii="Book Antiqua" w:hAnsi="Book Antiqua"/>
          <w:b/>
          <w:smallCaps/>
          <w:spacing w:val="-20"/>
          <w:sz w:val="34"/>
        </w:rPr>
        <w:t>P</w:t>
      </w:r>
      <w:r w:rsidRPr="00FD6C97">
        <w:rPr>
          <w:rFonts w:ascii="Book Antiqua" w:hAnsi="Book Antiqua"/>
          <w:b/>
          <w:smallCaps/>
          <w:spacing w:val="-20"/>
          <w:sz w:val="32"/>
        </w:rPr>
        <w:t>.</w:t>
      </w:r>
      <w:r w:rsidRPr="00FD6C97">
        <w:rPr>
          <w:rFonts w:ascii="Book Antiqua" w:hAnsi="Book Antiqua"/>
          <w:b/>
          <w:smallCaps/>
          <w:spacing w:val="-20"/>
          <w:sz w:val="34"/>
        </w:rPr>
        <w:t>C</w:t>
      </w:r>
      <w:r w:rsidRPr="00FD6C97">
        <w:rPr>
          <w:rFonts w:ascii="Book Antiqua" w:hAnsi="Book Antiqua"/>
          <w:b/>
          <w:smallCaps/>
          <w:spacing w:val="-20"/>
          <w:sz w:val="32"/>
        </w:rPr>
        <w:t>.</w:t>
      </w:r>
    </w:p>
    <w:p w:rsidR="00760825" w:rsidRPr="006F1AF4" w:rsidRDefault="00760825" w:rsidP="001A7F04">
      <w:pPr>
        <w:spacing w:before="60"/>
        <w:jc w:val="center"/>
        <w:rPr>
          <w:rFonts w:ascii="Arial" w:hAnsi="Arial"/>
          <w:smallCaps/>
          <w:spacing w:val="20"/>
          <w:sz w:val="18"/>
          <w:szCs w:val="18"/>
        </w:rPr>
      </w:pPr>
      <w:r w:rsidRPr="006F1AF4">
        <w:rPr>
          <w:rFonts w:ascii="Arial" w:hAnsi="Arial"/>
          <w:smallCaps/>
          <w:spacing w:val="20"/>
          <w:sz w:val="18"/>
          <w:szCs w:val="18"/>
        </w:rPr>
        <w:t>Attorney At Law</w:t>
      </w:r>
    </w:p>
    <w:p w:rsidR="00760825" w:rsidRPr="006F1AF4" w:rsidRDefault="00760825" w:rsidP="001A7F04">
      <w:pPr>
        <w:spacing w:before="60"/>
        <w:jc w:val="center"/>
        <w:rPr>
          <w:rFonts w:ascii="Arial" w:hAnsi="Arial"/>
          <w:smallCaps/>
          <w:spacing w:val="20"/>
          <w:sz w:val="18"/>
          <w:szCs w:val="18"/>
        </w:rPr>
      </w:pPr>
      <w:r w:rsidRPr="006F1AF4">
        <w:rPr>
          <w:rFonts w:ascii="Arial" w:hAnsi="Arial"/>
          <w:spacing w:val="20"/>
          <w:sz w:val="18"/>
          <w:szCs w:val="18"/>
        </w:rPr>
        <w:t>5449</w:t>
      </w:r>
      <w:r w:rsidRPr="006F1AF4">
        <w:rPr>
          <w:rFonts w:ascii="Arial" w:hAnsi="Arial"/>
          <w:smallCaps/>
          <w:spacing w:val="20"/>
          <w:sz w:val="18"/>
          <w:szCs w:val="18"/>
        </w:rPr>
        <w:t xml:space="preserve"> bending </w:t>
      </w:r>
      <w:smartTag w:uri="urn:schemas-microsoft-com:office:smarttags" w:element="address">
        <w:smartTag w:uri="urn:schemas-microsoft-com:office:smarttags" w:element="Street">
          <w:r w:rsidRPr="006F1AF4">
            <w:rPr>
              <w:rFonts w:ascii="Arial" w:hAnsi="Arial"/>
              <w:smallCaps/>
              <w:spacing w:val="20"/>
              <w:sz w:val="18"/>
              <w:szCs w:val="18"/>
            </w:rPr>
            <w:t>oaks place</w:t>
          </w:r>
        </w:smartTag>
      </w:smartTag>
    </w:p>
    <w:p w:rsidR="00760825" w:rsidRDefault="00760825" w:rsidP="001A7F04">
      <w:pPr>
        <w:spacing w:before="60"/>
        <w:jc w:val="center"/>
        <w:rPr>
          <w:rFonts w:ascii="Arial" w:hAnsi="Arial"/>
          <w:smallCaps/>
          <w:spacing w:val="20"/>
          <w:sz w:val="18"/>
          <w:szCs w:val="18"/>
        </w:rPr>
      </w:pPr>
      <w:smartTag w:uri="urn:schemas-microsoft-com:office:smarttags" w:element="place">
        <w:r w:rsidRPr="006F1AF4">
          <w:rPr>
            <w:rFonts w:ascii="Arial" w:hAnsi="Arial"/>
            <w:smallCaps/>
            <w:spacing w:val="20"/>
            <w:sz w:val="18"/>
            <w:szCs w:val="18"/>
          </w:rPr>
          <w:t>downers grove</w:t>
        </w:r>
      </w:smartTag>
      <w:r w:rsidRPr="006F1AF4">
        <w:rPr>
          <w:rFonts w:ascii="Arial" w:hAnsi="Arial"/>
          <w:smallCaps/>
          <w:spacing w:val="20"/>
          <w:sz w:val="18"/>
          <w:szCs w:val="18"/>
        </w:rPr>
        <w:t xml:space="preserve">, </w:t>
      </w:r>
      <w:r w:rsidR="00BE5549" w:rsidRPr="006F1AF4">
        <w:rPr>
          <w:rFonts w:ascii="Arial" w:hAnsi="Arial"/>
          <w:smallCaps/>
          <w:spacing w:val="20"/>
          <w:sz w:val="18"/>
          <w:szCs w:val="18"/>
        </w:rPr>
        <w:t>Illinois</w:t>
      </w:r>
      <w:r w:rsidRPr="006F1AF4">
        <w:rPr>
          <w:rFonts w:ascii="Arial" w:hAnsi="Arial"/>
          <w:smallCaps/>
          <w:spacing w:val="20"/>
          <w:sz w:val="18"/>
          <w:szCs w:val="18"/>
        </w:rPr>
        <w:t xml:space="preserve"> </w:t>
      </w:r>
      <w:smartTag w:uri="urn:schemas-microsoft-com:office:smarttags" w:element="PostalCode">
        <w:r w:rsidRPr="006F1AF4">
          <w:rPr>
            <w:rFonts w:ascii="Arial" w:hAnsi="Arial"/>
            <w:smallCaps/>
            <w:spacing w:val="20"/>
            <w:sz w:val="18"/>
            <w:szCs w:val="18"/>
          </w:rPr>
          <w:t>60515-4456</w:t>
        </w:r>
      </w:smartTag>
    </w:p>
    <w:p w:rsidR="00760825" w:rsidRPr="005959F7" w:rsidRDefault="0081184F" w:rsidP="001A7F04">
      <w:pPr>
        <w:jc w:val="center"/>
        <w:rPr>
          <w:b/>
          <w:sz w:val="28"/>
          <w:szCs w:val="28"/>
        </w:rPr>
      </w:pPr>
      <w:hyperlink r:id="rId9" w:history="1">
        <w:r w:rsidR="00760825" w:rsidRPr="005959F7">
          <w:rPr>
            <w:rStyle w:val="Hyperlink"/>
            <w:sz w:val="28"/>
            <w:szCs w:val="28"/>
          </w:rPr>
          <w:t>nfallon@nfhlaw.com</w:t>
        </w:r>
      </w:hyperlink>
      <w:r w:rsidR="00760825" w:rsidRPr="005959F7">
        <w:rPr>
          <w:sz w:val="28"/>
          <w:szCs w:val="28"/>
        </w:rPr>
        <w:t xml:space="preserve">       </w:t>
      </w:r>
      <w:r w:rsidR="00760825">
        <w:rPr>
          <w:sz w:val="28"/>
          <w:szCs w:val="28"/>
        </w:rPr>
        <w:t xml:space="preserve">   </w:t>
      </w:r>
      <w:r w:rsidR="00760825" w:rsidRPr="005959F7">
        <w:rPr>
          <w:sz w:val="28"/>
          <w:szCs w:val="28"/>
        </w:rPr>
        <w:t xml:space="preserve"> </w:t>
      </w:r>
      <w:r w:rsidR="00760825">
        <w:rPr>
          <w:sz w:val="28"/>
          <w:szCs w:val="28"/>
        </w:rPr>
        <w:t xml:space="preserve">               </w:t>
      </w:r>
      <w:r w:rsidR="00760825" w:rsidRPr="005959F7">
        <w:rPr>
          <w:sz w:val="28"/>
          <w:szCs w:val="28"/>
        </w:rPr>
        <w:t xml:space="preserve"> </w:t>
      </w:r>
      <w:r w:rsidR="00760825">
        <w:rPr>
          <w:sz w:val="28"/>
          <w:szCs w:val="28"/>
        </w:rPr>
        <w:t xml:space="preserve">     </w:t>
      </w:r>
      <w:r w:rsidR="00760825" w:rsidRPr="005959F7">
        <w:rPr>
          <w:sz w:val="28"/>
          <w:szCs w:val="28"/>
        </w:rPr>
        <w:t xml:space="preserve">  </w:t>
      </w:r>
      <w:r w:rsidR="00760825">
        <w:rPr>
          <w:sz w:val="28"/>
          <w:szCs w:val="28"/>
        </w:rPr>
        <w:t xml:space="preserve">  </w:t>
      </w:r>
      <w:r w:rsidR="00760825" w:rsidRPr="005959F7">
        <w:rPr>
          <w:sz w:val="28"/>
          <w:szCs w:val="28"/>
        </w:rPr>
        <w:t xml:space="preserve">       </w:t>
      </w:r>
      <w:r w:rsidR="00760825">
        <w:rPr>
          <w:szCs w:val="24"/>
        </w:rPr>
        <w:t>63</w:t>
      </w:r>
      <w:r w:rsidR="00760825" w:rsidRPr="00E30EB2">
        <w:rPr>
          <w:szCs w:val="24"/>
        </w:rPr>
        <w:t>0-963-0439</w:t>
      </w:r>
      <w:r w:rsidR="00760825">
        <w:rPr>
          <w:sz w:val="28"/>
          <w:szCs w:val="28"/>
        </w:rPr>
        <w:t xml:space="preserve"> </w:t>
      </w:r>
      <w:r w:rsidR="003E7CD4">
        <w:rPr>
          <w:sz w:val="28"/>
          <w:szCs w:val="28"/>
        </w:rPr>
        <w:t>x22</w:t>
      </w:r>
      <w:r w:rsidR="00760825">
        <w:rPr>
          <w:sz w:val="28"/>
          <w:szCs w:val="28"/>
        </w:rPr>
        <w:t xml:space="preserve">                                       </w:t>
      </w:r>
      <w:r w:rsidR="00760825" w:rsidRPr="005959F7">
        <w:rPr>
          <w:sz w:val="28"/>
          <w:szCs w:val="28"/>
        </w:rPr>
        <w:t xml:space="preserve">          </w:t>
      </w:r>
      <w:hyperlink r:id="rId10" w:history="1">
        <w:r w:rsidR="00760825" w:rsidRPr="005959F7">
          <w:rPr>
            <w:rStyle w:val="Hyperlink"/>
            <w:sz w:val="28"/>
            <w:szCs w:val="28"/>
          </w:rPr>
          <w:t>www.nfhlaw.com</w:t>
        </w:r>
      </w:hyperlink>
    </w:p>
    <w:p w:rsidR="00760825" w:rsidRPr="00B32B99" w:rsidRDefault="00760825" w:rsidP="00244AC9">
      <w:pPr>
        <w:pStyle w:val="Title"/>
        <w:widowControl w:val="0"/>
        <w:rPr>
          <w:rFonts w:ascii="Arial" w:hAnsi="Arial" w:cs="Arial"/>
          <w:b w:val="0"/>
          <w:sz w:val="28"/>
          <w:szCs w:val="28"/>
        </w:rPr>
      </w:pPr>
      <w:r w:rsidRPr="00B32B99">
        <w:rPr>
          <w:rFonts w:ascii="Arial" w:hAnsi="Arial" w:cs="Arial"/>
          <w:b w:val="0"/>
          <w:szCs w:val="24"/>
        </w:rPr>
        <w:t>© Nancy Fallon-Houle, 1998-20</w:t>
      </w:r>
      <w:r>
        <w:rPr>
          <w:rFonts w:ascii="Arial" w:hAnsi="Arial" w:cs="Arial"/>
          <w:b w:val="0"/>
          <w:szCs w:val="24"/>
        </w:rPr>
        <w:t>1</w:t>
      </w:r>
      <w:r w:rsidR="003E7CD4">
        <w:rPr>
          <w:rFonts w:ascii="Arial" w:hAnsi="Arial" w:cs="Arial"/>
          <w:b w:val="0"/>
          <w:szCs w:val="24"/>
        </w:rPr>
        <w:t>1</w:t>
      </w:r>
    </w:p>
    <w:p w:rsidR="00DB0782" w:rsidRDefault="00760825" w:rsidP="00244AC9">
      <w:pPr>
        <w:pStyle w:val="Title"/>
        <w:widowControl w:val="0"/>
        <w:rPr>
          <w:rFonts w:ascii="Arial" w:hAnsi="Arial" w:cs="Arial"/>
          <w:sz w:val="28"/>
          <w:szCs w:val="28"/>
        </w:rPr>
      </w:pPr>
      <w:r>
        <w:rPr>
          <w:rFonts w:ascii="Arial" w:hAnsi="Arial" w:cs="Arial"/>
          <w:sz w:val="28"/>
          <w:szCs w:val="28"/>
        </w:rPr>
        <w:t>Securities</w:t>
      </w:r>
      <w:r w:rsidR="00DB0782">
        <w:rPr>
          <w:rFonts w:ascii="Arial" w:hAnsi="Arial" w:cs="Arial"/>
          <w:sz w:val="28"/>
          <w:szCs w:val="28"/>
        </w:rPr>
        <w:t xml:space="preserve"> &amp; Futures</w:t>
      </w:r>
      <w:r>
        <w:rPr>
          <w:rFonts w:ascii="Arial" w:hAnsi="Arial" w:cs="Arial"/>
          <w:sz w:val="28"/>
          <w:szCs w:val="28"/>
        </w:rPr>
        <w:t xml:space="preserve"> </w:t>
      </w:r>
      <w:r w:rsidRPr="004C7932">
        <w:rPr>
          <w:rFonts w:ascii="Arial" w:hAnsi="Arial" w:cs="Arial"/>
          <w:sz w:val="28"/>
          <w:szCs w:val="28"/>
        </w:rPr>
        <w:t>Regulation</w:t>
      </w:r>
      <w:r>
        <w:rPr>
          <w:rFonts w:ascii="Arial" w:hAnsi="Arial" w:cs="Arial"/>
          <w:sz w:val="28"/>
          <w:szCs w:val="28"/>
        </w:rPr>
        <w:t xml:space="preserve"> of Private Funds</w:t>
      </w:r>
    </w:p>
    <w:p w:rsidR="00760825" w:rsidRDefault="00DB0782" w:rsidP="00244AC9">
      <w:pPr>
        <w:pStyle w:val="Title"/>
        <w:widowControl w:val="0"/>
        <w:rPr>
          <w:rFonts w:ascii="Arial" w:hAnsi="Arial" w:cs="Arial"/>
          <w:sz w:val="28"/>
          <w:szCs w:val="28"/>
        </w:rPr>
      </w:pPr>
      <w:r>
        <w:rPr>
          <w:rFonts w:ascii="Arial" w:hAnsi="Arial" w:cs="Arial"/>
          <w:sz w:val="28"/>
          <w:szCs w:val="28"/>
        </w:rPr>
        <w:t>With Dual Elements of Securities &amp; Futures</w:t>
      </w:r>
      <w:r w:rsidR="00760825">
        <w:rPr>
          <w:rFonts w:ascii="Arial" w:hAnsi="Arial" w:cs="Arial"/>
          <w:sz w:val="28"/>
          <w:szCs w:val="28"/>
        </w:rPr>
        <w:t xml:space="preserve"> </w:t>
      </w:r>
    </w:p>
    <w:p w:rsidR="00760825" w:rsidRPr="00D6061F" w:rsidRDefault="00760825" w:rsidP="00244AC9">
      <w:pPr>
        <w:pStyle w:val="Title"/>
        <w:widowControl w:val="0"/>
        <w:rPr>
          <w:rFonts w:ascii="Verdana" w:hAnsi="Verdana" w:cs="Arial"/>
          <w:szCs w:val="24"/>
        </w:rPr>
      </w:pPr>
      <w:r w:rsidRPr="00D6061F">
        <w:rPr>
          <w:rFonts w:ascii="Verdana" w:hAnsi="Verdana" w:cs="Arial"/>
          <w:szCs w:val="24"/>
        </w:rPr>
        <w:t xml:space="preserve">Privately Offered </w:t>
      </w:r>
      <w:r>
        <w:rPr>
          <w:rFonts w:ascii="Verdana" w:hAnsi="Verdana" w:cs="Arial"/>
          <w:szCs w:val="24"/>
        </w:rPr>
        <w:t>Funds</w:t>
      </w:r>
      <w:r w:rsidR="00A22407">
        <w:rPr>
          <w:rFonts w:ascii="Verdana" w:hAnsi="Verdana" w:cs="Arial"/>
          <w:szCs w:val="24"/>
        </w:rPr>
        <w:t>,</w:t>
      </w:r>
      <w:r>
        <w:rPr>
          <w:rFonts w:ascii="Verdana" w:hAnsi="Verdana" w:cs="Arial"/>
          <w:szCs w:val="24"/>
        </w:rPr>
        <w:t xml:space="preserve"> Relying on</w:t>
      </w:r>
      <w:r w:rsidRPr="00D6061F">
        <w:rPr>
          <w:rFonts w:ascii="Verdana" w:hAnsi="Verdana" w:cs="Arial"/>
          <w:szCs w:val="24"/>
        </w:rPr>
        <w:t xml:space="preserve"> Regulation D Rule 506</w:t>
      </w:r>
      <w:r w:rsidR="00A22407">
        <w:rPr>
          <w:rFonts w:ascii="Verdana" w:hAnsi="Verdana" w:cs="Arial"/>
          <w:szCs w:val="24"/>
        </w:rPr>
        <w:t xml:space="preserve"> Securities Exemption</w:t>
      </w:r>
    </w:p>
    <w:p w:rsidR="00760825" w:rsidRDefault="00760825">
      <w:pPr>
        <w:pStyle w:val="Title"/>
        <w:widowControl w:val="0"/>
        <w:jc w:val="left"/>
        <w:rPr>
          <w:rFonts w:ascii="Arial" w:hAnsi="Arial" w:cs="Arial"/>
          <w:szCs w:val="24"/>
        </w:rPr>
      </w:pPr>
    </w:p>
    <w:tbl>
      <w:tblPr>
        <w:tblW w:w="15228" w:type="dxa"/>
        <w:tblBorders>
          <w:insideH w:val="single" w:sz="18" w:space="0" w:color="FFFFFF"/>
          <w:insideV w:val="single" w:sz="18" w:space="0" w:color="FFFFFF"/>
        </w:tblBorders>
        <w:tblLayout w:type="fixed"/>
        <w:tblLook w:val="0020" w:firstRow="1" w:lastRow="0" w:firstColumn="0" w:lastColumn="0" w:noHBand="0" w:noVBand="0"/>
      </w:tblPr>
      <w:tblGrid>
        <w:gridCol w:w="4608"/>
        <w:gridCol w:w="3870"/>
        <w:gridCol w:w="720"/>
        <w:gridCol w:w="6030"/>
      </w:tblGrid>
      <w:tr w:rsidR="00DB0782" w:rsidRPr="00B15DF5" w:rsidTr="00AD72F6">
        <w:tc>
          <w:tcPr>
            <w:tcW w:w="4608" w:type="dxa"/>
            <w:tcBorders>
              <w:top w:val="nil"/>
            </w:tcBorders>
            <w:shd w:val="clear" w:color="000000" w:fill="E6E6E6"/>
          </w:tcPr>
          <w:p w:rsidR="00DB0782" w:rsidRPr="00B15DF5" w:rsidRDefault="00DB0782" w:rsidP="00B15DF5">
            <w:pPr>
              <w:widowControl w:val="0"/>
              <w:rPr>
                <w:rFonts w:ascii="Lucida Sans Unicode" w:hAnsi="Lucida Sans Unicode" w:cs="Lucida Sans Unicode"/>
                <w:b/>
                <w:bCs/>
                <w:szCs w:val="24"/>
                <w:u w:val="single"/>
              </w:rPr>
            </w:pPr>
            <w:r w:rsidRPr="00B15DF5">
              <w:rPr>
                <w:rFonts w:ascii="Lucida Sans Unicode" w:hAnsi="Lucida Sans Unicode" w:cs="Lucida Sans Unicode"/>
                <w:b/>
                <w:bCs/>
                <w:szCs w:val="24"/>
                <w:u w:val="single"/>
              </w:rPr>
              <w:t>Law and Issue</w:t>
            </w:r>
          </w:p>
          <w:p w:rsidR="00DB0782" w:rsidRPr="00B15DF5" w:rsidRDefault="00DB0782" w:rsidP="00B15DF5">
            <w:pPr>
              <w:widowControl w:val="0"/>
              <w:rPr>
                <w:rFonts w:ascii="Lucida Sans Unicode" w:hAnsi="Lucida Sans Unicode" w:cs="Lucida Sans Unicode"/>
                <w:b/>
                <w:bCs/>
                <w:sz w:val="22"/>
                <w:szCs w:val="22"/>
              </w:rPr>
            </w:pPr>
          </w:p>
          <w:p w:rsidR="00DB0782" w:rsidRPr="00B15DF5" w:rsidRDefault="00DB0782" w:rsidP="00B15DF5">
            <w:pPr>
              <w:widowControl w:val="0"/>
              <w:rPr>
                <w:rFonts w:ascii="Lucida Sans Unicode" w:hAnsi="Lucida Sans Unicode" w:cs="Lucida Sans Unicode"/>
                <w:b/>
                <w:bCs/>
                <w:sz w:val="22"/>
                <w:szCs w:val="22"/>
              </w:rPr>
            </w:pPr>
          </w:p>
        </w:tc>
        <w:tc>
          <w:tcPr>
            <w:tcW w:w="4590" w:type="dxa"/>
            <w:gridSpan w:val="2"/>
            <w:tcBorders>
              <w:top w:val="nil"/>
            </w:tcBorders>
            <w:shd w:val="clear" w:color="000000" w:fill="E6E6E6"/>
          </w:tcPr>
          <w:p w:rsidR="00DB0782" w:rsidRPr="00B15DF5" w:rsidRDefault="00DB0782" w:rsidP="00B15DF5">
            <w:pPr>
              <w:widowControl w:val="0"/>
              <w:rPr>
                <w:rFonts w:ascii="Verdana" w:hAnsi="Verdana" w:cs="Arial"/>
                <w:b/>
                <w:bCs/>
                <w:szCs w:val="24"/>
              </w:rPr>
            </w:pPr>
            <w:r w:rsidRPr="00B15DF5">
              <w:rPr>
                <w:rFonts w:ascii="Verdana" w:hAnsi="Verdana" w:cs="Arial"/>
                <w:b/>
                <w:bCs/>
                <w:szCs w:val="24"/>
                <w:u w:val="single"/>
              </w:rPr>
              <w:t>Securities Fund</w:t>
            </w:r>
            <w:r>
              <w:rPr>
                <w:rFonts w:ascii="Verdana" w:hAnsi="Verdana" w:cs="Arial"/>
                <w:b/>
                <w:bCs/>
                <w:szCs w:val="24"/>
                <w:u w:val="single"/>
              </w:rPr>
              <w:t>, Trading Fund, Futures Fund</w:t>
            </w:r>
            <w:r w:rsidR="001F5026">
              <w:rPr>
                <w:rFonts w:ascii="Verdana" w:hAnsi="Verdana" w:cs="Arial"/>
                <w:b/>
                <w:bCs/>
                <w:szCs w:val="24"/>
                <w:u w:val="single"/>
              </w:rPr>
              <w:t>:</w:t>
            </w:r>
            <w:r w:rsidR="001F5026">
              <w:rPr>
                <w:rFonts w:ascii="Verdana" w:hAnsi="Verdana" w:cs="Arial"/>
                <w:b/>
                <w:bCs/>
                <w:szCs w:val="24"/>
              </w:rPr>
              <w:t xml:space="preserve"> L</w:t>
            </w:r>
            <w:r w:rsidRPr="00B15DF5">
              <w:rPr>
                <w:rFonts w:ascii="Verdana" w:hAnsi="Verdana" w:cs="Arial"/>
                <w:b/>
                <w:bCs/>
                <w:szCs w:val="24"/>
              </w:rPr>
              <w:t>egal Requirements, Exemptions &amp;</w:t>
            </w:r>
          </w:p>
          <w:p w:rsidR="00DB0782" w:rsidRPr="00B15DF5" w:rsidRDefault="00DB0782" w:rsidP="00B15DF5">
            <w:pPr>
              <w:widowControl w:val="0"/>
              <w:rPr>
                <w:rFonts w:ascii="Verdana" w:hAnsi="Verdana" w:cs="Arial"/>
                <w:b/>
                <w:bCs/>
                <w:szCs w:val="24"/>
              </w:rPr>
            </w:pPr>
            <w:r w:rsidRPr="00B15DF5">
              <w:rPr>
                <w:rFonts w:ascii="Verdana" w:hAnsi="Verdana" w:cs="Arial"/>
                <w:b/>
                <w:bCs/>
                <w:szCs w:val="24"/>
              </w:rPr>
              <w:t>Suggested Action</w:t>
            </w:r>
          </w:p>
        </w:tc>
        <w:tc>
          <w:tcPr>
            <w:tcW w:w="6030" w:type="dxa"/>
            <w:tcBorders>
              <w:top w:val="nil"/>
            </w:tcBorders>
            <w:shd w:val="clear" w:color="000000" w:fill="E6E6E6"/>
          </w:tcPr>
          <w:p w:rsidR="00DB0782" w:rsidRDefault="00DB0782" w:rsidP="00B15DF5">
            <w:pPr>
              <w:widowControl w:val="0"/>
              <w:rPr>
                <w:rFonts w:ascii="Verdana" w:hAnsi="Verdana" w:cs="Arial"/>
                <w:b/>
                <w:bCs/>
                <w:szCs w:val="24"/>
                <w:u w:val="single"/>
              </w:rPr>
            </w:pPr>
            <w:r>
              <w:rPr>
                <w:rFonts w:ascii="Verdana" w:hAnsi="Verdana" w:cs="Arial"/>
                <w:b/>
                <w:bCs/>
                <w:szCs w:val="24"/>
                <w:u w:val="single"/>
              </w:rPr>
              <w:t>Futures Fund</w:t>
            </w:r>
          </w:p>
          <w:p w:rsidR="00DB0782" w:rsidRPr="00DB0782" w:rsidRDefault="00DB0782" w:rsidP="00B15DF5">
            <w:pPr>
              <w:widowControl w:val="0"/>
              <w:rPr>
                <w:rFonts w:ascii="Verdana" w:hAnsi="Verdana" w:cs="Arial"/>
                <w:b/>
                <w:bCs/>
                <w:szCs w:val="24"/>
              </w:rPr>
            </w:pPr>
            <w:r>
              <w:rPr>
                <w:rFonts w:ascii="Verdana" w:hAnsi="Verdana" w:cs="Arial"/>
                <w:b/>
                <w:bCs/>
                <w:szCs w:val="24"/>
              </w:rPr>
              <w:t>Legal Requirements</w:t>
            </w:r>
            <w:r w:rsidR="00B05B3C">
              <w:rPr>
                <w:rFonts w:ascii="Verdana" w:hAnsi="Verdana" w:cs="Arial"/>
                <w:b/>
                <w:bCs/>
                <w:szCs w:val="24"/>
              </w:rPr>
              <w:t xml:space="preserve"> in Addition to Column I;</w:t>
            </w:r>
            <w:r>
              <w:rPr>
                <w:rFonts w:ascii="Verdana" w:hAnsi="Verdana" w:cs="Arial"/>
                <w:b/>
                <w:bCs/>
                <w:szCs w:val="24"/>
              </w:rPr>
              <w:t xml:space="preserve"> Exemptions &amp; Suggested Action</w:t>
            </w:r>
          </w:p>
        </w:tc>
      </w:tr>
      <w:tr w:rsidR="001F5026" w:rsidTr="002E23ED">
        <w:tc>
          <w:tcPr>
            <w:tcW w:w="4608" w:type="dxa"/>
            <w:shd w:val="clear" w:color="000000" w:fill="FFFFFF"/>
          </w:tcPr>
          <w:p w:rsidR="001F5026" w:rsidRPr="00B15DF5" w:rsidRDefault="001F5026" w:rsidP="00B15DF5">
            <w:pPr>
              <w:widowControl w:val="0"/>
              <w:spacing w:before="100" w:beforeAutospacing="1" w:after="100" w:afterAutospacing="1"/>
              <w:rPr>
                <w:rFonts w:ascii="Lucida Sans Unicode" w:hAnsi="Lucida Sans Unicode" w:cs="Lucida Sans Unicode"/>
                <w:b/>
                <w:sz w:val="22"/>
                <w:szCs w:val="22"/>
              </w:rPr>
            </w:pPr>
            <w:r w:rsidRPr="00B15DF5">
              <w:rPr>
                <w:rFonts w:ascii="Lucida Sans Unicode" w:hAnsi="Lucida Sans Unicode" w:cs="Lucida Sans Unicode"/>
                <w:b/>
                <w:sz w:val="22"/>
                <w:szCs w:val="22"/>
              </w:rPr>
              <w:t>1933 Securities Act (Securities Registration or Exemption); Filing Requirement</w:t>
            </w:r>
          </w:p>
        </w:tc>
        <w:tc>
          <w:tcPr>
            <w:tcW w:w="10620" w:type="dxa"/>
            <w:gridSpan w:val="3"/>
            <w:shd w:val="clear" w:color="000000" w:fill="FFFFFF"/>
          </w:tcPr>
          <w:p w:rsidR="001F5026" w:rsidRDefault="001F5026" w:rsidP="00864F12">
            <w:pPr>
              <w:widowControl w:val="0"/>
              <w:spacing w:before="100" w:beforeAutospacing="1" w:after="100" w:afterAutospacing="1"/>
            </w:pPr>
            <w:r>
              <w:t xml:space="preserve">Regulation D Rule 506 Exemption from registration.  File Form D with Securities &amp; Exchange Commission online on EDGAR to claim Private Offering exemption.  Offering must comply with the prohibition on general solicitation, which forbids advertising, cold-calling, marketing on websites, </w:t>
            </w:r>
            <w:r w:rsidR="009515A6">
              <w:t>seminar invitation</w:t>
            </w:r>
            <w:r w:rsidR="009515A6">
              <w:t>s or emails</w:t>
            </w:r>
            <w:r w:rsidR="009515A6">
              <w:t xml:space="preserve"> to pe</w:t>
            </w:r>
            <w:r w:rsidR="009515A6">
              <w:t xml:space="preserve">ople you don’t previously know. </w:t>
            </w:r>
            <w:r>
              <w:t xml:space="preserve">Unlimited accredited investors, 35 nonaccredited investors; Audited financials and full disclosure book required for investment offered to nonaccredited investors.  </w:t>
            </w:r>
          </w:p>
        </w:tc>
      </w:tr>
      <w:tr w:rsidR="001F5026" w:rsidTr="005229F6">
        <w:tc>
          <w:tcPr>
            <w:tcW w:w="4608" w:type="dxa"/>
            <w:shd w:val="clear" w:color="000000" w:fill="E6E6E6"/>
          </w:tcPr>
          <w:p w:rsidR="001F5026" w:rsidRPr="003E7CD4" w:rsidRDefault="001F5026" w:rsidP="00B15DF5">
            <w:pPr>
              <w:widowControl w:val="0"/>
              <w:rPr>
                <w:rFonts w:ascii="Lucida Sans Unicode" w:hAnsi="Lucida Sans Unicode" w:cs="Lucida Sans Unicode"/>
                <w:b/>
                <w:sz w:val="22"/>
                <w:szCs w:val="22"/>
              </w:rPr>
            </w:pPr>
            <w:r w:rsidRPr="003E7CD4">
              <w:rPr>
                <w:rFonts w:ascii="Lucida Sans Unicode" w:hAnsi="Lucida Sans Unicode" w:cs="Lucida Sans Unicode"/>
                <w:b/>
                <w:sz w:val="22"/>
                <w:szCs w:val="22"/>
              </w:rPr>
              <w:t xml:space="preserve">Types of </w:t>
            </w:r>
            <w:r>
              <w:rPr>
                <w:rFonts w:ascii="Lucida Sans Unicode" w:hAnsi="Lucida Sans Unicode" w:cs="Lucida Sans Unicode"/>
                <w:b/>
                <w:sz w:val="22"/>
                <w:szCs w:val="22"/>
              </w:rPr>
              <w:t>Funds Covered</w:t>
            </w:r>
          </w:p>
        </w:tc>
        <w:tc>
          <w:tcPr>
            <w:tcW w:w="10620" w:type="dxa"/>
            <w:gridSpan w:val="3"/>
            <w:shd w:val="clear" w:color="000000" w:fill="E6E6E6"/>
          </w:tcPr>
          <w:p w:rsidR="001F5026" w:rsidRDefault="001F5026" w:rsidP="00B15DF5">
            <w:pPr>
              <w:widowControl w:val="0"/>
            </w:pPr>
            <w:r>
              <w:t>Securities Trading or Futures Trading Funds: 1933 Act applies because pooling investor money into one entity or trading account for investing, rather than in separate managed accounts is deemed a fund, and because fund is offering a pooled interest, which is deemed a security.</w:t>
            </w:r>
          </w:p>
          <w:p w:rsidR="00864F12" w:rsidRDefault="00864F12" w:rsidP="00B15DF5">
            <w:pPr>
              <w:widowControl w:val="0"/>
            </w:pPr>
          </w:p>
          <w:p w:rsidR="00864F12" w:rsidRDefault="00864F12" w:rsidP="00864F12">
            <w:pPr>
              <w:widowControl w:val="0"/>
            </w:pPr>
            <w:r>
              <w:t>Futures Funds: 1933 Act applies, because fund is offering a pooled interest</w:t>
            </w:r>
            <w:r>
              <w:t xml:space="preserve"> in a futures trading account. The pooled interest</w:t>
            </w:r>
            <w:r>
              <w:t xml:space="preserve"> is deemed a security.</w:t>
            </w:r>
          </w:p>
        </w:tc>
      </w:tr>
      <w:tr w:rsidR="00DB0782" w:rsidTr="00AD72F6">
        <w:tc>
          <w:tcPr>
            <w:tcW w:w="4608" w:type="dxa"/>
            <w:tcBorders>
              <w:bottom w:val="single" w:sz="18" w:space="0" w:color="FFFFFF"/>
            </w:tcBorders>
            <w:shd w:val="clear" w:color="000000" w:fill="FFFFFF"/>
          </w:tcPr>
          <w:p w:rsidR="00DB0782" w:rsidRPr="00B15DF5" w:rsidRDefault="00DB0782" w:rsidP="00B15DF5">
            <w:pPr>
              <w:widowControl w:val="0"/>
              <w:spacing w:before="100" w:beforeAutospacing="1" w:after="100" w:afterAutospacing="1"/>
              <w:rPr>
                <w:rFonts w:ascii="Lucida Sans Unicode" w:hAnsi="Lucida Sans Unicode" w:cs="Lucida Sans Unicode"/>
                <w:b/>
                <w:sz w:val="22"/>
                <w:szCs w:val="22"/>
              </w:rPr>
            </w:pPr>
            <w:r w:rsidRPr="00B15DF5">
              <w:rPr>
                <w:rFonts w:ascii="Lucida Sans Unicode" w:hAnsi="Lucida Sans Unicode" w:cs="Lucida Sans Unicode"/>
                <w:b/>
                <w:sz w:val="22"/>
                <w:szCs w:val="22"/>
              </w:rPr>
              <w:t>Financial Statement Requirements</w:t>
            </w:r>
          </w:p>
        </w:tc>
        <w:tc>
          <w:tcPr>
            <w:tcW w:w="4590" w:type="dxa"/>
            <w:gridSpan w:val="2"/>
            <w:tcBorders>
              <w:bottom w:val="single" w:sz="18" w:space="0" w:color="FFFFFF"/>
            </w:tcBorders>
            <w:shd w:val="clear" w:color="000000" w:fill="FFFFFF"/>
          </w:tcPr>
          <w:p w:rsidR="00DB0782" w:rsidRDefault="00DB0782" w:rsidP="00B15DF5">
            <w:pPr>
              <w:widowControl w:val="0"/>
            </w:pPr>
            <w:r w:rsidRPr="00B15DF5">
              <w:rPr>
                <w:i/>
              </w:rPr>
              <w:t>Unaudited</w:t>
            </w:r>
            <w:r>
              <w:t xml:space="preserve"> Opening Balance Sheet</w:t>
            </w:r>
            <w:r w:rsidR="008524A6">
              <w:t xml:space="preserve"> required for all investors. </w:t>
            </w:r>
            <w:r w:rsidRPr="008524A6">
              <w:rPr>
                <w:i/>
              </w:rPr>
              <w:t xml:space="preserve">Unaudited </w:t>
            </w:r>
            <w:r>
              <w:t xml:space="preserve">Continuing </w:t>
            </w:r>
            <w:r w:rsidR="008524A6">
              <w:t xml:space="preserve">Balance Sheet, Income Statement &amp; </w:t>
            </w:r>
            <w:r>
              <w:t xml:space="preserve">Financials </w:t>
            </w:r>
            <w:r w:rsidR="008524A6">
              <w:t xml:space="preserve">required </w:t>
            </w:r>
            <w:r>
              <w:t>if all investors accredited.</w:t>
            </w:r>
          </w:p>
          <w:p w:rsidR="00DB0782" w:rsidRDefault="00DB0782" w:rsidP="00B05B3C">
            <w:pPr>
              <w:widowControl w:val="0"/>
              <w:spacing w:before="100" w:beforeAutospacing="1" w:after="100" w:afterAutospacing="1"/>
            </w:pPr>
            <w:r w:rsidRPr="00B15DF5">
              <w:rPr>
                <w:i/>
              </w:rPr>
              <w:t>Audited</w:t>
            </w:r>
            <w:r>
              <w:t xml:space="preserve"> Open</w:t>
            </w:r>
            <w:r w:rsidR="00B05B3C">
              <w:t>ing Balance Sheet Required for n</w:t>
            </w:r>
            <w:r>
              <w:t>ew Fund if nonaccredited investors invest.  Audited Continuing Fina</w:t>
            </w:r>
            <w:r w:rsidR="00B05B3C">
              <w:t>ncials if nonaccredited</w:t>
            </w:r>
            <w:r>
              <w:t>s continue to invest.  Audited financials and full disclosure book required for nonaccredited investors. For an offering to all accredited investors, audited financials are not required, but are currently “market” and therefore are ty</w:t>
            </w:r>
            <w:r w:rsidR="00B05B3C">
              <w:t xml:space="preserve">pically provided, if not at </w:t>
            </w:r>
            <w:r>
              <w:t xml:space="preserve">opening, then after </w:t>
            </w:r>
            <w:r w:rsidR="001F5026">
              <w:t>1</w:t>
            </w:r>
            <w:r w:rsidR="001F5026" w:rsidRPr="001F5026">
              <w:rPr>
                <w:vertAlign w:val="superscript"/>
              </w:rPr>
              <w:t>st</w:t>
            </w:r>
            <w:r w:rsidR="001F5026">
              <w:t xml:space="preserve"> </w:t>
            </w:r>
            <w:r>
              <w:t>year.</w:t>
            </w:r>
          </w:p>
        </w:tc>
        <w:tc>
          <w:tcPr>
            <w:tcW w:w="6030" w:type="dxa"/>
            <w:tcBorders>
              <w:bottom w:val="single" w:sz="18" w:space="0" w:color="FFFFFF"/>
            </w:tcBorders>
            <w:shd w:val="clear" w:color="000000" w:fill="FFFFFF"/>
          </w:tcPr>
          <w:p w:rsidR="00693F14" w:rsidRPr="00693F14" w:rsidRDefault="00693F14" w:rsidP="00693F14">
            <w:pPr>
              <w:keepNext/>
              <w:keepLines/>
            </w:pPr>
            <w:r w:rsidRPr="008524A6">
              <w:rPr>
                <w:i/>
              </w:rPr>
              <w:t xml:space="preserve">Audited </w:t>
            </w:r>
            <w:r w:rsidRPr="00693F14">
              <w:t xml:space="preserve">Financial Statements </w:t>
            </w:r>
            <w:r w:rsidR="008524A6">
              <w:t xml:space="preserve">required </w:t>
            </w:r>
            <w:r w:rsidRPr="00693F14">
              <w:t>for Commodity Pool, unless exemptions apply.</w:t>
            </w:r>
          </w:p>
          <w:p w:rsidR="001F5026" w:rsidRDefault="001F5026" w:rsidP="00693F14">
            <w:pPr>
              <w:widowControl w:val="0"/>
            </w:pPr>
          </w:p>
          <w:p w:rsidR="00DB0782" w:rsidRDefault="00693F14" w:rsidP="00693F14">
            <w:pPr>
              <w:widowControl w:val="0"/>
            </w:pPr>
            <w:r w:rsidRPr="00693F14">
              <w:t xml:space="preserve">Performance Tables </w:t>
            </w:r>
            <w:r w:rsidR="001F5026">
              <w:t xml:space="preserve">required </w:t>
            </w:r>
            <w:r w:rsidRPr="00693F14">
              <w:t>for CTAs</w:t>
            </w:r>
            <w:r w:rsidR="001F5026">
              <w:t>.</w:t>
            </w:r>
          </w:p>
          <w:p w:rsidR="001F5026" w:rsidRDefault="001F5026" w:rsidP="00693F14">
            <w:pPr>
              <w:widowControl w:val="0"/>
            </w:pPr>
          </w:p>
          <w:p w:rsidR="001F5026" w:rsidRDefault="001F5026" w:rsidP="00693F14">
            <w:pPr>
              <w:widowControl w:val="0"/>
            </w:pPr>
            <w:r>
              <w:t xml:space="preserve">Even if NFA Exemptions apply, the left column also applies if there are any non-accredited investors in the fund. </w:t>
            </w:r>
          </w:p>
          <w:p w:rsidR="001F5026" w:rsidRDefault="001F5026" w:rsidP="00693F14">
            <w:pPr>
              <w:widowControl w:val="0"/>
            </w:pPr>
          </w:p>
          <w:p w:rsidR="001F5026" w:rsidRPr="00B15DF5" w:rsidRDefault="009515A6" w:rsidP="00693F14">
            <w:pPr>
              <w:widowControl w:val="0"/>
              <w:rPr>
                <w:i/>
              </w:rPr>
            </w:pPr>
            <w:r>
              <w:t xml:space="preserve">It </w:t>
            </w:r>
            <w:r w:rsidR="001F5026">
              <w:t>has become “market” to include audited financials into fund offering documents, especially futures funds, even if they are not required by the regulators.</w:t>
            </w:r>
          </w:p>
        </w:tc>
      </w:tr>
      <w:tr w:rsidR="00693F14" w:rsidTr="00AD72F6">
        <w:tc>
          <w:tcPr>
            <w:tcW w:w="4608" w:type="dxa"/>
            <w:tcBorders>
              <w:top w:val="single" w:sz="18" w:space="0" w:color="FFFFFF"/>
              <w:bottom w:val="single" w:sz="18" w:space="0" w:color="FFFFFF"/>
            </w:tcBorders>
            <w:shd w:val="clear" w:color="000000" w:fill="D9D9D9" w:themeFill="background1" w:themeFillShade="D9"/>
          </w:tcPr>
          <w:p w:rsidR="00693F14" w:rsidRDefault="00693F14" w:rsidP="003E7CD4">
            <w:pPr>
              <w:widowControl w:val="0"/>
              <w:rPr>
                <w:rFonts w:ascii="Lucida Sans Unicode" w:hAnsi="Lucida Sans Unicode" w:cs="Lucida Sans Unicode"/>
                <w:b/>
                <w:sz w:val="22"/>
                <w:szCs w:val="22"/>
              </w:rPr>
            </w:pPr>
            <w:r w:rsidRPr="00B15DF5">
              <w:rPr>
                <w:rFonts w:ascii="Lucida Sans Unicode" w:hAnsi="Lucida Sans Unicode" w:cs="Lucida Sans Unicode"/>
                <w:b/>
                <w:sz w:val="22"/>
                <w:szCs w:val="22"/>
                <w:u w:val="single"/>
              </w:rPr>
              <w:t>Disclosure Document:</w:t>
            </w:r>
            <w:r w:rsidRPr="0019676B">
              <w:rPr>
                <w:rFonts w:ascii="Lucida Sans Unicode" w:hAnsi="Lucida Sans Unicode" w:cs="Lucida Sans Unicode"/>
                <w:b/>
                <w:sz w:val="22"/>
                <w:szCs w:val="22"/>
              </w:rPr>
              <w:t xml:space="preserve">  </w:t>
            </w:r>
            <w:r w:rsidRPr="00B15DF5">
              <w:rPr>
                <w:rFonts w:ascii="Lucida Sans Unicode" w:hAnsi="Lucida Sans Unicode" w:cs="Lucida Sans Unicode"/>
                <w:b/>
                <w:sz w:val="22"/>
                <w:szCs w:val="22"/>
              </w:rPr>
              <w:t>Offering Memo under the Securities 33 Act (Reg D) and Rule 10b-5</w:t>
            </w:r>
            <w:r>
              <w:rPr>
                <w:rFonts w:ascii="Lucida Sans Unicode" w:hAnsi="Lucida Sans Unicode" w:cs="Lucida Sans Unicode"/>
                <w:b/>
                <w:sz w:val="22"/>
                <w:szCs w:val="22"/>
              </w:rPr>
              <w:t xml:space="preserve"> under the 1934 Act. Disclosure Document for CFTC.</w:t>
            </w:r>
          </w:p>
          <w:p w:rsidR="00693F14" w:rsidRPr="00693F14" w:rsidRDefault="00693F14" w:rsidP="003E7CD4">
            <w:pPr>
              <w:widowControl w:val="0"/>
              <w:rPr>
                <w:rFonts w:ascii="Lucida Sans Unicode" w:hAnsi="Lucida Sans Unicode" w:cs="Lucida Sans Unicode"/>
                <w:b/>
                <w:i/>
                <w:sz w:val="22"/>
                <w:szCs w:val="22"/>
              </w:rPr>
            </w:pPr>
            <w:r w:rsidRPr="00693F14">
              <w:rPr>
                <w:rFonts w:ascii="Lucida Sans Unicode" w:hAnsi="Lucida Sans Unicode" w:cs="Lucida Sans Unicode"/>
                <w:b/>
                <w:i/>
                <w:sz w:val="22"/>
                <w:szCs w:val="22"/>
              </w:rPr>
              <w:t>Use Same Disclosure Document for Both</w:t>
            </w:r>
          </w:p>
        </w:tc>
        <w:tc>
          <w:tcPr>
            <w:tcW w:w="4590" w:type="dxa"/>
            <w:gridSpan w:val="2"/>
            <w:tcBorders>
              <w:top w:val="single" w:sz="18" w:space="0" w:color="FFFFFF"/>
              <w:bottom w:val="single" w:sz="18" w:space="0" w:color="FFFFFF"/>
            </w:tcBorders>
            <w:shd w:val="clear" w:color="000000" w:fill="D9D9D9" w:themeFill="background1" w:themeFillShade="D9"/>
          </w:tcPr>
          <w:p w:rsidR="00693F14" w:rsidRDefault="00693F14" w:rsidP="003E7CD4">
            <w:pPr>
              <w:widowControl w:val="0"/>
            </w:pPr>
            <w:r>
              <w:t xml:space="preserve">Offering Memo (Disclosure Document) Required, under 10b-5 (Antifraud) provisions of 1933 and 1934 Acts.  Even a private fund, exempt from SEC </w:t>
            </w:r>
            <w:r w:rsidRPr="00B15DF5">
              <w:rPr>
                <w:b/>
                <w:i/>
              </w:rPr>
              <w:t>registration</w:t>
            </w:r>
            <w:r>
              <w:t xml:space="preserve">, is not exempt from </w:t>
            </w:r>
            <w:r w:rsidRPr="00B15DF5">
              <w:rPr>
                <w:b/>
                <w:i/>
              </w:rPr>
              <w:t xml:space="preserve">disclosure. </w:t>
            </w:r>
            <w:r>
              <w:t>Therefore, fund must prepare a full Disclosure Document / Offering Memo, for investors, before they invest. Contents dictated by Reg D Rule 502.</w:t>
            </w:r>
          </w:p>
        </w:tc>
        <w:tc>
          <w:tcPr>
            <w:tcW w:w="6030" w:type="dxa"/>
            <w:tcBorders>
              <w:top w:val="single" w:sz="18" w:space="0" w:color="FFFFFF"/>
              <w:bottom w:val="single" w:sz="18" w:space="0" w:color="FFFFFF"/>
            </w:tcBorders>
            <w:shd w:val="clear" w:color="000000" w:fill="D9D9D9" w:themeFill="background1" w:themeFillShade="D9"/>
          </w:tcPr>
          <w:p w:rsidR="00693F14" w:rsidRPr="00693F14" w:rsidRDefault="00693F14" w:rsidP="00693F14">
            <w:pPr>
              <w:widowControl w:val="0"/>
            </w:pPr>
            <w:r w:rsidRPr="00693F14">
              <w:t>CFTC’s futures fund disclosure is similar to securities fund offering memo under ’33 Act. But disclosure more complex for futures fund.  Book subject to CFTC review, though often cursory review.  File book with NFA &amp; CFTC.  Contents dictated by CFTC Rules 4.24 and 4.25.</w:t>
            </w:r>
          </w:p>
          <w:p w:rsidR="00693F14" w:rsidRPr="00693F14" w:rsidRDefault="00693F14" w:rsidP="00693F14">
            <w:pPr>
              <w:widowControl w:val="0"/>
            </w:pPr>
            <w:r w:rsidRPr="00693F14">
              <w:rPr>
                <w:i/>
              </w:rPr>
              <w:t xml:space="preserve">Overlaps in many aspects with securities disclosure under Reg D; therefore we use one </w:t>
            </w:r>
            <w:r w:rsidR="009515A6">
              <w:rPr>
                <w:i/>
              </w:rPr>
              <w:t xml:space="preserve">offering </w:t>
            </w:r>
            <w:r w:rsidRPr="00693F14">
              <w:rPr>
                <w:i/>
              </w:rPr>
              <w:t xml:space="preserve">book to cover both </w:t>
            </w:r>
            <w:r w:rsidR="009515A6">
              <w:rPr>
                <w:i/>
              </w:rPr>
              <w:t xml:space="preserve">securities and futures </w:t>
            </w:r>
            <w:r w:rsidRPr="00693F14">
              <w:rPr>
                <w:i/>
              </w:rPr>
              <w:t>requirements</w:t>
            </w:r>
            <w:r w:rsidRPr="00693F14">
              <w:t xml:space="preserve">.  </w:t>
            </w:r>
          </w:p>
        </w:tc>
      </w:tr>
      <w:tr w:rsidR="00693F14" w:rsidTr="00AD72F6">
        <w:tc>
          <w:tcPr>
            <w:tcW w:w="4608" w:type="dxa"/>
            <w:tcBorders>
              <w:top w:val="single" w:sz="18" w:space="0" w:color="FFFFFF"/>
            </w:tcBorders>
            <w:shd w:val="clear" w:color="000000" w:fill="FFFFFF"/>
          </w:tcPr>
          <w:p w:rsidR="00693F14" w:rsidRPr="00B15DF5" w:rsidRDefault="00693F14" w:rsidP="00B15DF5">
            <w:pPr>
              <w:widowControl w:val="0"/>
              <w:spacing w:before="100" w:beforeAutospacing="1" w:after="100" w:afterAutospacing="1"/>
              <w:rPr>
                <w:rFonts w:ascii="Lucida Sans Unicode" w:hAnsi="Lucida Sans Unicode" w:cs="Lucida Sans Unicode"/>
                <w:b/>
                <w:sz w:val="22"/>
                <w:szCs w:val="22"/>
              </w:rPr>
            </w:pPr>
            <w:r w:rsidRPr="00B15DF5">
              <w:rPr>
                <w:rFonts w:ascii="Lucida Sans Unicode" w:hAnsi="Lucida Sans Unicode" w:cs="Lucida Sans Unicode"/>
                <w:b/>
                <w:sz w:val="22"/>
                <w:szCs w:val="22"/>
              </w:rPr>
              <w:t>Blue Sky (State Securities Law) – State Registration of Fund</w:t>
            </w:r>
          </w:p>
        </w:tc>
        <w:tc>
          <w:tcPr>
            <w:tcW w:w="4590" w:type="dxa"/>
            <w:gridSpan w:val="2"/>
            <w:tcBorders>
              <w:top w:val="single" w:sz="18" w:space="0" w:color="FFFFFF"/>
            </w:tcBorders>
            <w:shd w:val="clear" w:color="000000" w:fill="FFFFFF"/>
          </w:tcPr>
          <w:p w:rsidR="00693F14" w:rsidRDefault="00693F14" w:rsidP="00B15DF5">
            <w:pPr>
              <w:widowControl w:val="0"/>
              <w:spacing w:before="100" w:beforeAutospacing="1" w:after="100" w:afterAutospacing="1"/>
            </w:pPr>
            <w:r>
              <w:t>Form D Notice Filing Required + Other Documents + Filing Fees in Each S</w:t>
            </w:r>
            <w:r w:rsidR="00DA3D06">
              <w:t>tate (Filing Fees Range From $0 to $1,385, averaging</w:t>
            </w:r>
            <w:r>
              <w:t xml:space="preserve"> $200-$300 per state. </w:t>
            </w:r>
            <w:r w:rsidR="00DA3D06">
              <w:t xml:space="preserve"> </w:t>
            </w:r>
            <w:r>
              <w:t xml:space="preserve">Legal fees $600 per </w:t>
            </w:r>
            <w:r w:rsidR="00DA3D06">
              <w:t>state, except NY and CT are higher</w:t>
            </w:r>
            <w:r>
              <w:t>.</w:t>
            </w:r>
          </w:p>
        </w:tc>
        <w:tc>
          <w:tcPr>
            <w:tcW w:w="6030" w:type="dxa"/>
            <w:tcBorders>
              <w:top w:val="single" w:sz="18" w:space="0" w:color="FFFFFF"/>
            </w:tcBorders>
            <w:shd w:val="clear" w:color="000000" w:fill="FFFFFF"/>
          </w:tcPr>
          <w:p w:rsidR="00693F14" w:rsidRPr="00225066" w:rsidRDefault="00693F14" w:rsidP="009515A6">
            <w:pPr>
              <w:widowControl w:val="0"/>
              <w:spacing w:before="100" w:beforeAutospacing="1" w:after="100" w:afterAutospacing="1"/>
              <w:rPr>
                <w:highlight w:val="yellow"/>
              </w:rPr>
            </w:pPr>
            <w:r w:rsidRPr="00693F14">
              <w:t>No additional filings required for Futures; NASAA Commodity Pool Guidelines do not apply because fund is not publicly offered.</w:t>
            </w:r>
          </w:p>
        </w:tc>
      </w:tr>
      <w:tr w:rsidR="00693F14" w:rsidTr="00AD72F6">
        <w:tc>
          <w:tcPr>
            <w:tcW w:w="4608" w:type="dxa"/>
            <w:shd w:val="clear" w:color="000000" w:fill="E6E6E6"/>
          </w:tcPr>
          <w:p w:rsidR="00693F14" w:rsidRPr="00B15DF5" w:rsidRDefault="00693F14" w:rsidP="00B15DF5">
            <w:pPr>
              <w:keepNext/>
              <w:keepLines/>
              <w:spacing w:before="100" w:beforeAutospacing="1" w:after="100" w:afterAutospacing="1"/>
              <w:rPr>
                <w:rFonts w:ascii="Lucida Sans Unicode" w:hAnsi="Lucida Sans Unicode" w:cs="Lucida Sans Unicode"/>
                <w:b/>
                <w:sz w:val="22"/>
                <w:szCs w:val="22"/>
              </w:rPr>
            </w:pPr>
            <w:r w:rsidRPr="00B15DF5">
              <w:rPr>
                <w:rFonts w:ascii="Lucida Sans Unicode" w:hAnsi="Lucida Sans Unicode" w:cs="Lucida Sans Unicode"/>
                <w:b/>
                <w:sz w:val="22"/>
                <w:szCs w:val="22"/>
              </w:rPr>
              <w:t>1940 Act (Investment Company Act – Registration of Exemption)</w:t>
            </w:r>
          </w:p>
        </w:tc>
        <w:tc>
          <w:tcPr>
            <w:tcW w:w="4590" w:type="dxa"/>
            <w:gridSpan w:val="2"/>
            <w:shd w:val="clear" w:color="000000" w:fill="E6E6E6"/>
          </w:tcPr>
          <w:p w:rsidR="00693F14" w:rsidRDefault="00693F14" w:rsidP="00B15DF5">
            <w:pPr>
              <w:keepNext/>
              <w:keepLines/>
            </w:pPr>
            <w:r>
              <w:t>Exemptions:</w:t>
            </w:r>
          </w:p>
          <w:p w:rsidR="00693F14" w:rsidRDefault="00DA3D06" w:rsidP="00B15DF5">
            <w:pPr>
              <w:keepNext/>
              <w:keepLines/>
              <w:numPr>
                <w:ilvl w:val="0"/>
                <w:numId w:val="6"/>
              </w:numPr>
            </w:pPr>
            <w:r>
              <w:t>§ 3(c)(1): Limit of 99</w:t>
            </w:r>
            <w:r w:rsidR="00693F14">
              <w:t xml:space="preserve"> accredited investors, or</w:t>
            </w:r>
          </w:p>
          <w:p w:rsidR="00693F14" w:rsidRDefault="00DA3D06" w:rsidP="00B15DF5">
            <w:pPr>
              <w:keepNext/>
              <w:keepLines/>
              <w:numPr>
                <w:ilvl w:val="0"/>
                <w:numId w:val="6"/>
              </w:numPr>
            </w:pPr>
            <w:r>
              <w:t>§3(c)(7): Limit of 499</w:t>
            </w:r>
            <w:r w:rsidR="00693F14">
              <w:t xml:space="preserve"> Qualified Purchasers, or</w:t>
            </w:r>
          </w:p>
          <w:p w:rsidR="00693F14" w:rsidRDefault="00693F14" w:rsidP="00B15DF5">
            <w:pPr>
              <w:keepNext/>
              <w:keepLines/>
              <w:numPr>
                <w:ilvl w:val="0"/>
                <w:numId w:val="6"/>
              </w:numPr>
            </w:pPr>
            <w:r>
              <w:t>§3(b)(1) exemption for Commodity Pools</w:t>
            </w:r>
          </w:p>
          <w:p w:rsidR="00693F14" w:rsidRPr="00B32B99" w:rsidRDefault="00693F14" w:rsidP="00B15DF5">
            <w:pPr>
              <w:keepNext/>
              <w:keepLines/>
              <w:spacing w:before="100" w:beforeAutospacing="1" w:after="100" w:afterAutospacing="1"/>
            </w:pPr>
            <w:r>
              <w:t>Qualified Purchaser is an Investor who owns $5 million in investments or manages $25 million in investments for self and others.</w:t>
            </w:r>
          </w:p>
        </w:tc>
        <w:tc>
          <w:tcPr>
            <w:tcW w:w="6030" w:type="dxa"/>
            <w:shd w:val="clear" w:color="000000" w:fill="E6E6E6"/>
          </w:tcPr>
          <w:p w:rsidR="009320A8" w:rsidRPr="009320A8" w:rsidRDefault="009320A8" w:rsidP="00644EAA">
            <w:pPr>
              <w:widowControl w:val="0"/>
              <w:spacing w:before="100" w:beforeAutospacing="1" w:after="100" w:afterAutospacing="1"/>
            </w:pPr>
            <w:r w:rsidRPr="009320A8">
              <w:t>3(b)(1) exemption from ’40 Act for Commodity Pools; therefore no limit of</w:t>
            </w:r>
            <w:r w:rsidR="00644EAA">
              <w:t xml:space="preserve"> 99</w:t>
            </w:r>
            <w:r w:rsidRPr="009320A8">
              <w:t xml:space="preserve"> investors.  Fund investments must be</w:t>
            </w:r>
            <w:r w:rsidRPr="009320A8">
              <w:rPr>
                <w:u w:val="single"/>
              </w:rPr>
              <w:t xml:space="preserve"> &gt; </w:t>
            </w:r>
            <w:r w:rsidRPr="009320A8">
              <w:t>40 % commodities or futures, in order to be exempt from ’40 Act Registration.  Exclude T-Bills from numerator and denominator to determine 40%.</w:t>
            </w:r>
          </w:p>
          <w:p w:rsidR="00693F14" w:rsidRPr="009320A8" w:rsidRDefault="009320A8" w:rsidP="00644EAA">
            <w:pPr>
              <w:keepNext/>
              <w:keepLines/>
            </w:pPr>
            <w:r w:rsidRPr="009320A8">
              <w:rPr>
                <w:b/>
                <w:bCs/>
              </w:rPr>
              <w:t xml:space="preserve">However, </w:t>
            </w:r>
            <w:r w:rsidR="00644EAA">
              <w:rPr>
                <w:b/>
                <w:bCs/>
              </w:rPr>
              <w:t xml:space="preserve">if exempt from ’40 Act by virtue of being a “commodity pool”, then </w:t>
            </w:r>
            <w:r w:rsidRPr="009320A8">
              <w:rPr>
                <w:b/>
                <w:bCs/>
              </w:rPr>
              <w:t xml:space="preserve">Commodities Act compliance </w:t>
            </w:r>
            <w:r w:rsidR="00644EAA">
              <w:rPr>
                <w:b/>
                <w:bCs/>
              </w:rPr>
              <w:t xml:space="preserve">is </w:t>
            </w:r>
            <w:r w:rsidRPr="009320A8">
              <w:rPr>
                <w:b/>
                <w:bCs/>
              </w:rPr>
              <w:t>required.  Fund cannot avoid both Commodities Act and 1940 Act</w:t>
            </w:r>
            <w:r w:rsidR="00644EAA">
              <w:rPr>
                <w:b/>
                <w:bCs/>
              </w:rPr>
              <w:t xml:space="preserve"> if over 99 investors.</w:t>
            </w:r>
          </w:p>
        </w:tc>
      </w:tr>
      <w:tr w:rsidR="00693F14" w:rsidTr="00AD72F6">
        <w:tc>
          <w:tcPr>
            <w:tcW w:w="4608" w:type="dxa"/>
            <w:shd w:val="clear" w:color="000000" w:fill="FFFFFF"/>
          </w:tcPr>
          <w:p w:rsidR="00693F14" w:rsidRPr="00B15DF5" w:rsidRDefault="00693F14" w:rsidP="00B15DF5">
            <w:pPr>
              <w:widowControl w:val="0"/>
              <w:spacing w:before="100" w:beforeAutospacing="1" w:after="100" w:afterAutospacing="1"/>
              <w:rPr>
                <w:rFonts w:ascii="Lucida Sans Unicode" w:hAnsi="Lucida Sans Unicode" w:cs="Lucida Sans Unicode"/>
                <w:b/>
                <w:sz w:val="22"/>
                <w:szCs w:val="22"/>
              </w:rPr>
            </w:pPr>
            <w:r w:rsidRPr="00B15DF5">
              <w:rPr>
                <w:rFonts w:ascii="Lucida Sans Unicode" w:hAnsi="Lucida Sans Unicode" w:cs="Lucida Sans Unicode"/>
                <w:b/>
                <w:sz w:val="22"/>
                <w:szCs w:val="22"/>
              </w:rPr>
              <w:t>State Investment Company – Blue Sky</w:t>
            </w:r>
          </w:p>
        </w:tc>
        <w:tc>
          <w:tcPr>
            <w:tcW w:w="4590" w:type="dxa"/>
            <w:gridSpan w:val="2"/>
            <w:shd w:val="clear" w:color="000000" w:fill="FFFFFF"/>
          </w:tcPr>
          <w:p w:rsidR="00693F14" w:rsidRDefault="00693F14" w:rsidP="00B15DF5">
            <w:pPr>
              <w:widowControl w:val="0"/>
              <w:spacing w:before="100" w:beforeAutospacing="1" w:after="100" w:afterAutospacing="1"/>
            </w:pPr>
            <w:r>
              <w:t>None</w:t>
            </w:r>
          </w:p>
        </w:tc>
        <w:tc>
          <w:tcPr>
            <w:tcW w:w="6030" w:type="dxa"/>
            <w:shd w:val="clear" w:color="000000" w:fill="FFFFFF"/>
          </w:tcPr>
          <w:p w:rsidR="00693F14" w:rsidRDefault="00B05B3C" w:rsidP="00B15DF5">
            <w:pPr>
              <w:widowControl w:val="0"/>
              <w:spacing w:before="100" w:beforeAutospacing="1" w:after="100" w:afterAutospacing="1"/>
            </w:pPr>
            <w:r>
              <w:t>None</w:t>
            </w:r>
          </w:p>
        </w:tc>
      </w:tr>
      <w:tr w:rsidR="00AA3927" w:rsidTr="00830261">
        <w:tc>
          <w:tcPr>
            <w:tcW w:w="4608" w:type="dxa"/>
            <w:shd w:val="clear" w:color="000000" w:fill="E6E6E6"/>
          </w:tcPr>
          <w:p w:rsidR="00AA3927" w:rsidRPr="00B15DF5" w:rsidRDefault="00AA3927" w:rsidP="00B15DF5">
            <w:pPr>
              <w:widowControl w:val="0"/>
              <w:spacing w:before="100" w:beforeAutospacing="1" w:after="100" w:afterAutospacing="1"/>
              <w:rPr>
                <w:rFonts w:ascii="Lucida Sans Unicode" w:hAnsi="Lucida Sans Unicode" w:cs="Lucida Sans Unicode"/>
                <w:b/>
                <w:sz w:val="22"/>
                <w:szCs w:val="22"/>
              </w:rPr>
            </w:pPr>
            <w:r w:rsidRPr="00B15DF5">
              <w:rPr>
                <w:rFonts w:ascii="Lucida Sans Unicode" w:hAnsi="Lucida Sans Unicode" w:cs="Lucida Sans Unicode"/>
                <w:b/>
                <w:sz w:val="22"/>
                <w:szCs w:val="22"/>
              </w:rPr>
              <w:t>1934 Exchange Act – Broker-Dealer Registration</w:t>
            </w:r>
          </w:p>
          <w:p w:rsidR="00AA3927" w:rsidRPr="00B15DF5" w:rsidRDefault="00AA3927" w:rsidP="00B15DF5">
            <w:pPr>
              <w:widowControl w:val="0"/>
              <w:numPr>
                <w:ilvl w:val="0"/>
                <w:numId w:val="5"/>
              </w:numPr>
              <w:rPr>
                <w:rFonts w:ascii="Lucida Sans Unicode" w:hAnsi="Lucida Sans Unicode" w:cs="Lucida Sans Unicode"/>
                <w:b/>
                <w:sz w:val="22"/>
                <w:szCs w:val="22"/>
              </w:rPr>
            </w:pPr>
            <w:r w:rsidRPr="00B15DF5">
              <w:rPr>
                <w:rFonts w:ascii="Lucida Sans Unicode" w:hAnsi="Lucida Sans Unicode" w:cs="Lucida Sans Unicode"/>
                <w:b/>
                <w:sz w:val="22"/>
                <w:szCs w:val="22"/>
              </w:rPr>
              <w:t>Broker-Dealer Registration, or</w:t>
            </w:r>
          </w:p>
          <w:p w:rsidR="00AA3927" w:rsidRPr="00B15DF5" w:rsidRDefault="00AA3927" w:rsidP="00B15DF5">
            <w:pPr>
              <w:widowControl w:val="0"/>
              <w:numPr>
                <w:ilvl w:val="0"/>
                <w:numId w:val="5"/>
              </w:numPr>
              <w:rPr>
                <w:rFonts w:ascii="Lucida Sans Unicode" w:hAnsi="Lucida Sans Unicode" w:cs="Lucida Sans Unicode"/>
                <w:b/>
                <w:sz w:val="22"/>
                <w:szCs w:val="22"/>
              </w:rPr>
            </w:pPr>
            <w:r w:rsidRPr="00B15DF5">
              <w:rPr>
                <w:rFonts w:ascii="Lucida Sans Unicode" w:hAnsi="Lucida Sans Unicode" w:cs="Lucida Sans Unicode"/>
                <w:b/>
                <w:sz w:val="22"/>
                <w:szCs w:val="22"/>
              </w:rPr>
              <w:t>Issuer-Dealer Registration or Exemption</w:t>
            </w:r>
          </w:p>
        </w:tc>
        <w:tc>
          <w:tcPr>
            <w:tcW w:w="10620" w:type="dxa"/>
            <w:gridSpan w:val="3"/>
            <w:shd w:val="clear" w:color="000000" w:fill="E6E6E6"/>
          </w:tcPr>
          <w:p w:rsidR="00AA3927" w:rsidRDefault="00AA3927" w:rsidP="00B15DF5">
            <w:pPr>
              <w:widowControl w:val="0"/>
              <w:numPr>
                <w:ilvl w:val="0"/>
                <w:numId w:val="5"/>
              </w:numPr>
              <w:tabs>
                <w:tab w:val="clear" w:pos="720"/>
                <w:tab w:val="num" w:pos="342"/>
              </w:tabs>
              <w:ind w:left="360"/>
            </w:pPr>
            <w:r>
              <w:t>Use a registered broker-dealer to market or sell Fund Interests (including your prime broker), or</w:t>
            </w:r>
          </w:p>
          <w:p w:rsidR="00AA3927" w:rsidRDefault="00AA3927" w:rsidP="00644EAA">
            <w:pPr>
              <w:widowControl w:val="0"/>
              <w:numPr>
                <w:ilvl w:val="0"/>
                <w:numId w:val="5"/>
              </w:numPr>
              <w:tabs>
                <w:tab w:val="clear" w:pos="720"/>
                <w:tab w:val="num" w:pos="342"/>
              </w:tabs>
              <w:ind w:left="360"/>
            </w:pPr>
            <w:r>
              <w:t>If not using a registered broker, rely on federal Rule 3(a)(4)-1 for an exemption from broker-dealer registration for officers of the issuer.  Officer cannot be involved in offerings of any other issuers; receives no commissions, has not been involved in the last 12 months in any other offering, or</w:t>
            </w:r>
          </w:p>
          <w:p w:rsidR="00AA3927" w:rsidRDefault="00AA3927" w:rsidP="00AA3927">
            <w:pPr>
              <w:widowControl w:val="0"/>
              <w:numPr>
                <w:ilvl w:val="0"/>
                <w:numId w:val="5"/>
              </w:numPr>
              <w:tabs>
                <w:tab w:val="clear" w:pos="720"/>
                <w:tab w:val="num" w:pos="342"/>
              </w:tabs>
              <w:ind w:left="360"/>
            </w:pPr>
            <w:r w:rsidRPr="00AA3927">
              <w:rPr>
                <w:szCs w:val="24"/>
              </w:rPr>
              <w:t xml:space="preserve">Register the officer with </w:t>
            </w:r>
            <w:r>
              <w:rPr>
                <w:szCs w:val="24"/>
              </w:rPr>
              <w:t>FINRA</w:t>
            </w:r>
            <w:r w:rsidRPr="00AA3927">
              <w:rPr>
                <w:szCs w:val="24"/>
              </w:rPr>
              <w:t>, if person will be receiving compensation, commissions, finders' fees, or equity / stock for bringing investors into the Fund.   Series 7 Exam, U-4, Fingerprint cards.  No bonding or net capital required.</w:t>
            </w:r>
          </w:p>
          <w:p w:rsidR="00AA3927" w:rsidRDefault="00AA3927" w:rsidP="00AA3927">
            <w:pPr>
              <w:widowControl w:val="0"/>
              <w:numPr>
                <w:ilvl w:val="0"/>
                <w:numId w:val="5"/>
              </w:numPr>
              <w:tabs>
                <w:tab w:val="clear" w:pos="720"/>
                <w:tab w:val="num" w:pos="342"/>
              </w:tabs>
              <w:ind w:left="360"/>
            </w:pPr>
            <w:r>
              <w:t xml:space="preserve">NFA </w:t>
            </w:r>
            <w:r>
              <w:t>CTA and CPO registrations also required</w:t>
            </w:r>
            <w:r>
              <w:t xml:space="preserve"> for </w:t>
            </w:r>
            <w:r>
              <w:t>princi</w:t>
            </w:r>
            <w:r>
              <w:t xml:space="preserve">pals of futures </w:t>
            </w:r>
            <w:r>
              <w:t xml:space="preserve">fund manager to “sell” the fund.  </w:t>
            </w:r>
            <w:r>
              <w:t>Similar to</w:t>
            </w:r>
            <w:r>
              <w:t xml:space="preserve"> broker-dealer registration</w:t>
            </w:r>
            <w:r>
              <w:t>s</w:t>
            </w:r>
            <w:r>
              <w:t xml:space="preserve">, </w:t>
            </w:r>
            <w:r>
              <w:t>but</w:t>
            </w:r>
            <w:r>
              <w:t xml:space="preserve"> simpler. See below “NFA and CFTC”.</w:t>
            </w:r>
          </w:p>
        </w:tc>
      </w:tr>
      <w:tr w:rsidR="00AA3927" w:rsidTr="00FD03BD">
        <w:tc>
          <w:tcPr>
            <w:tcW w:w="4608" w:type="dxa"/>
            <w:shd w:val="clear" w:color="000000" w:fill="auto"/>
          </w:tcPr>
          <w:p w:rsidR="00AA3927" w:rsidRPr="00B15DF5" w:rsidRDefault="00AA3927" w:rsidP="00B15DF5">
            <w:pPr>
              <w:widowControl w:val="0"/>
              <w:spacing w:before="100" w:beforeAutospacing="1" w:after="100" w:afterAutospacing="1"/>
              <w:rPr>
                <w:rFonts w:ascii="Lucida Sans Unicode" w:hAnsi="Lucida Sans Unicode" w:cs="Lucida Sans Unicode"/>
                <w:b/>
                <w:sz w:val="22"/>
                <w:szCs w:val="22"/>
              </w:rPr>
            </w:pPr>
            <w:r w:rsidRPr="00B15DF5">
              <w:rPr>
                <w:rFonts w:ascii="Lucida Sans Unicode" w:hAnsi="Lucida Sans Unicode" w:cs="Lucida Sans Unicode"/>
                <w:b/>
                <w:sz w:val="22"/>
                <w:szCs w:val="22"/>
              </w:rPr>
              <w:t>State Broker-Dealer , or Issuer- Dealer, Registrations or Exemptions</w:t>
            </w:r>
          </w:p>
        </w:tc>
        <w:tc>
          <w:tcPr>
            <w:tcW w:w="10620" w:type="dxa"/>
            <w:gridSpan w:val="3"/>
            <w:shd w:val="clear" w:color="000000" w:fill="auto"/>
          </w:tcPr>
          <w:p w:rsidR="00AA3927" w:rsidRDefault="00AA3927" w:rsidP="00B15DF5">
            <w:pPr>
              <w:widowControl w:val="0"/>
              <w:numPr>
                <w:ilvl w:val="0"/>
                <w:numId w:val="8"/>
              </w:numPr>
            </w:pPr>
            <w:r>
              <w:t>Use registered broker-dealer,</w:t>
            </w:r>
          </w:p>
          <w:p w:rsidR="00AA3927" w:rsidRDefault="00AA3927" w:rsidP="00672135">
            <w:pPr>
              <w:widowControl w:val="0"/>
              <w:numPr>
                <w:ilvl w:val="0"/>
                <w:numId w:val="8"/>
              </w:numPr>
            </w:pPr>
            <w:r>
              <w:t xml:space="preserve">Register </w:t>
            </w:r>
            <w:r w:rsidRPr="00B15DF5">
              <w:rPr>
                <w:u w:val="single"/>
              </w:rPr>
              <w:t>any</w:t>
            </w:r>
            <w:r>
              <w:t xml:space="preserve"> employee of the Issuer as an  “agent of the Issuer”  (Series 7 and 63 Exams required), U-4, some states require fingerprint cards, or</w:t>
            </w:r>
          </w:p>
          <w:p w:rsidR="00AA3927" w:rsidRDefault="00AA3927" w:rsidP="00672135">
            <w:pPr>
              <w:widowControl w:val="0"/>
              <w:numPr>
                <w:ilvl w:val="0"/>
                <w:numId w:val="8"/>
              </w:numPr>
            </w:pPr>
            <w:r>
              <w:t xml:space="preserve">Rely on state Issuer-Dealer Exemptions for Officers or Directors of the Issuer, who are not taking any fees for bringing in investors.  A few states have such exemptions.  States which do </w:t>
            </w:r>
            <w:r w:rsidRPr="005A3CEA">
              <w:t>not</w:t>
            </w:r>
            <w:r>
              <w:t xml:space="preserve"> have exemptions </w:t>
            </w:r>
            <w:r w:rsidRPr="005A3CEA">
              <w:t>are</w:t>
            </w:r>
            <w:r>
              <w:t xml:space="preserve"> CT, NH, VT, FL, among others.    </w:t>
            </w:r>
            <w:smartTag w:uri="urn:schemas-microsoft-com:office:smarttags" w:element="State">
              <w:smartTag w:uri="urn:schemas-microsoft-com:office:smarttags" w:element="place">
                <w:r>
                  <w:t>Illinois</w:t>
                </w:r>
              </w:smartTag>
            </w:smartTag>
            <w:r>
              <w:t xml:space="preserve"> exemption at §2.</w:t>
            </w:r>
          </w:p>
          <w:p w:rsidR="00AA3927" w:rsidRDefault="00AA3927" w:rsidP="00672135">
            <w:pPr>
              <w:widowControl w:val="0"/>
              <w:numPr>
                <w:ilvl w:val="0"/>
                <w:numId w:val="8"/>
              </w:numPr>
            </w:pPr>
            <w:r>
              <w:t>No additional requirements for futures funds</w:t>
            </w:r>
            <w:r>
              <w:t>.</w:t>
            </w:r>
          </w:p>
        </w:tc>
      </w:tr>
      <w:tr w:rsidR="00672135" w:rsidTr="00B05300">
        <w:tc>
          <w:tcPr>
            <w:tcW w:w="4608" w:type="dxa"/>
            <w:shd w:val="clear" w:color="000000" w:fill="E6E6E6"/>
          </w:tcPr>
          <w:p w:rsidR="00672135" w:rsidRPr="00B15DF5" w:rsidRDefault="00672135" w:rsidP="00B15DF5">
            <w:pPr>
              <w:widowControl w:val="0"/>
              <w:spacing w:before="100" w:beforeAutospacing="1" w:after="100" w:afterAutospacing="1"/>
              <w:rPr>
                <w:rFonts w:ascii="Lucida Sans Unicode" w:hAnsi="Lucida Sans Unicode" w:cs="Lucida Sans Unicode"/>
                <w:b/>
                <w:i/>
                <w:sz w:val="22"/>
                <w:szCs w:val="22"/>
              </w:rPr>
            </w:pPr>
            <w:r w:rsidRPr="00B15DF5">
              <w:rPr>
                <w:rFonts w:ascii="Lucida Sans Unicode" w:hAnsi="Lucida Sans Unicode" w:cs="Lucida Sans Unicode"/>
                <w:b/>
                <w:sz w:val="22"/>
                <w:szCs w:val="22"/>
              </w:rPr>
              <w:t xml:space="preserve">Investment Adviser’s Act of 1940:  </w:t>
            </w:r>
            <w:r w:rsidRPr="00B15DF5">
              <w:rPr>
                <w:rFonts w:ascii="Lucida Sans Unicode" w:hAnsi="Lucida Sans Unicode" w:cs="Lucida Sans Unicode"/>
                <w:b/>
                <w:i/>
                <w:sz w:val="22"/>
                <w:szCs w:val="22"/>
              </w:rPr>
              <w:t>Applies to entities, or fund managers, who manage more than 1 fund, or who advise investors in which fund to invest.</w:t>
            </w:r>
          </w:p>
        </w:tc>
        <w:tc>
          <w:tcPr>
            <w:tcW w:w="10620" w:type="dxa"/>
            <w:gridSpan w:val="3"/>
            <w:shd w:val="clear" w:color="000000" w:fill="E6E6E6"/>
          </w:tcPr>
          <w:p w:rsidR="00672135" w:rsidRDefault="00672135" w:rsidP="00B15DF5">
            <w:pPr>
              <w:widowControl w:val="0"/>
              <w:spacing w:before="100" w:beforeAutospacing="1" w:after="100" w:afterAutospacing="1"/>
            </w:pPr>
            <w:r>
              <w:t>Fund Managers with at least $150 million under management, must register with the SEC as an Investment Advisor.  Fund Managers with less than $150 million, must register with their home state, if that state requires it.  Princi</w:t>
            </w:r>
            <w:r w:rsidR="00AA3927">
              <w:t>pals take Series 66 Exam (or have previous Series 65).  Manager f</w:t>
            </w:r>
            <w:r>
              <w:t xml:space="preserve">iles Form ADV with SEC on IARD electronic system, to register as investment adviser. </w:t>
            </w:r>
            <w:r w:rsidR="00AA3927">
              <w:t xml:space="preserve"> </w:t>
            </w:r>
            <w:r>
              <w:t>SEC will audit Adviser approximately once every 3 years, unless facts determine more frequent audit. Solid &amp; thorough disclosure on ADV Part I and Part II, as well as fund disclosure, trading compliance manual and AML compliance manual, will streamline the audit.</w:t>
            </w:r>
          </w:p>
        </w:tc>
      </w:tr>
      <w:tr w:rsidR="00672135" w:rsidTr="00316F6B">
        <w:tc>
          <w:tcPr>
            <w:tcW w:w="4608" w:type="dxa"/>
            <w:shd w:val="clear" w:color="000000" w:fill="FFFFFF"/>
          </w:tcPr>
          <w:p w:rsidR="00672135" w:rsidRPr="00B15DF5" w:rsidRDefault="00672135" w:rsidP="00B15DF5">
            <w:pPr>
              <w:widowControl w:val="0"/>
              <w:spacing w:before="100" w:beforeAutospacing="1" w:after="100" w:afterAutospacing="1"/>
              <w:rPr>
                <w:rFonts w:ascii="Lucida Sans Unicode" w:hAnsi="Lucida Sans Unicode" w:cs="Lucida Sans Unicode"/>
                <w:b/>
                <w:sz w:val="22"/>
                <w:szCs w:val="22"/>
              </w:rPr>
            </w:pPr>
            <w:r w:rsidRPr="00B15DF5">
              <w:rPr>
                <w:rFonts w:ascii="Lucida Sans Unicode" w:hAnsi="Lucida Sans Unicode" w:cs="Lucida Sans Unicode"/>
                <w:b/>
                <w:sz w:val="22"/>
                <w:szCs w:val="22"/>
              </w:rPr>
              <w:t>State Investment Adviser Registration</w:t>
            </w:r>
          </w:p>
        </w:tc>
        <w:tc>
          <w:tcPr>
            <w:tcW w:w="10620" w:type="dxa"/>
            <w:gridSpan w:val="3"/>
            <w:shd w:val="clear" w:color="000000" w:fill="FFFFFF"/>
          </w:tcPr>
          <w:p w:rsidR="00672135" w:rsidRDefault="00672135" w:rsidP="00A22407">
            <w:pPr>
              <w:widowControl w:val="0"/>
              <w:spacing w:before="100" w:beforeAutospacing="1" w:after="100" w:afterAutospacing="1"/>
            </w:pPr>
            <w:r>
              <w:t>If Manager is SEC-Registered, then simple state electronic notifications (and small fees) required in states where Manager resides, and in states where fund clients reside (though not all states require notices where fund clients reside, and some de minimus exemptions may apply). If Manager is not SEC-Registered, then full state registration required, including paper and electronic components.</w:t>
            </w:r>
          </w:p>
        </w:tc>
      </w:tr>
      <w:tr w:rsidR="00672135" w:rsidTr="000A5182">
        <w:tc>
          <w:tcPr>
            <w:tcW w:w="4608" w:type="dxa"/>
            <w:tcBorders>
              <w:bottom w:val="single" w:sz="18" w:space="0" w:color="FFFFFF"/>
            </w:tcBorders>
            <w:shd w:val="clear" w:color="000000" w:fill="E6E6E6"/>
          </w:tcPr>
          <w:p w:rsidR="00672135" w:rsidRPr="00B15DF5" w:rsidRDefault="00672135" w:rsidP="00A22407">
            <w:pPr>
              <w:widowControl w:val="0"/>
              <w:spacing w:before="100" w:beforeAutospacing="1" w:after="100" w:afterAutospacing="1"/>
              <w:rPr>
                <w:rFonts w:ascii="Lucida Sans Unicode" w:hAnsi="Lucida Sans Unicode" w:cs="Lucida Sans Unicode"/>
                <w:b/>
                <w:sz w:val="22"/>
                <w:szCs w:val="22"/>
              </w:rPr>
            </w:pPr>
            <w:r>
              <w:rPr>
                <w:rFonts w:ascii="Lucida Sans Unicode" w:hAnsi="Lucida Sans Unicode" w:cs="Lucida Sans Unicode"/>
                <w:b/>
                <w:sz w:val="22"/>
                <w:szCs w:val="22"/>
              </w:rPr>
              <w:t xml:space="preserve">Anti-Money Laundering: </w:t>
            </w:r>
            <w:r w:rsidRPr="00B15DF5">
              <w:rPr>
                <w:rFonts w:ascii="Lucida Sans Unicode" w:hAnsi="Lucida Sans Unicode" w:cs="Lucida Sans Unicode"/>
                <w:b/>
                <w:sz w:val="22"/>
                <w:szCs w:val="22"/>
              </w:rPr>
              <w:t xml:space="preserve">U.S. Patriot Act.  </w:t>
            </w:r>
            <w:r w:rsidRPr="00B15DF5">
              <w:rPr>
                <w:rFonts w:ascii="Lucida Sans Unicode" w:hAnsi="Lucida Sans Unicode" w:cs="Lucida Sans Unicode"/>
                <w:b/>
                <w:i/>
                <w:sz w:val="22"/>
                <w:szCs w:val="22"/>
              </w:rPr>
              <w:t>Applies to non-U.S. investors.</w:t>
            </w:r>
          </w:p>
        </w:tc>
        <w:tc>
          <w:tcPr>
            <w:tcW w:w="10620" w:type="dxa"/>
            <w:gridSpan w:val="3"/>
            <w:tcBorders>
              <w:bottom w:val="single" w:sz="18" w:space="0" w:color="FFFFFF"/>
            </w:tcBorders>
            <w:shd w:val="clear" w:color="000000" w:fill="E6E6E6"/>
          </w:tcPr>
          <w:p w:rsidR="00672135" w:rsidRDefault="00672135" w:rsidP="00B15DF5">
            <w:pPr>
              <w:widowControl w:val="0"/>
              <w:spacing w:before="100" w:beforeAutospacing="1" w:after="100" w:afterAutospacing="1"/>
            </w:pPr>
            <w:r>
              <w:t>Fund manager must implement, and follow, Anti-Money Laundering Procedures, Compliance and Certifications by non-US investors, banks, brokers, others.</w:t>
            </w:r>
          </w:p>
        </w:tc>
      </w:tr>
      <w:tr w:rsidR="00672135" w:rsidTr="00555C04">
        <w:tc>
          <w:tcPr>
            <w:tcW w:w="4608" w:type="dxa"/>
            <w:tcBorders>
              <w:top w:val="single" w:sz="18" w:space="0" w:color="FFFFFF"/>
              <w:bottom w:val="single" w:sz="18" w:space="0" w:color="FFFFFF"/>
            </w:tcBorders>
            <w:shd w:val="clear" w:color="000000" w:fill="auto"/>
          </w:tcPr>
          <w:p w:rsidR="00672135" w:rsidRDefault="00672135" w:rsidP="009320A8">
            <w:pPr>
              <w:widowControl w:val="0"/>
              <w:tabs>
                <w:tab w:val="left" w:pos="2985"/>
              </w:tabs>
              <w:spacing w:before="100" w:beforeAutospacing="1" w:after="100" w:afterAutospacing="1"/>
              <w:rPr>
                <w:rFonts w:ascii="Lucida Sans Unicode" w:hAnsi="Lucida Sans Unicode" w:cs="Lucida Sans Unicode"/>
                <w:b/>
                <w:sz w:val="22"/>
                <w:szCs w:val="22"/>
              </w:rPr>
            </w:pPr>
            <w:r>
              <w:rPr>
                <w:rFonts w:ascii="Lucida Sans Unicode" w:hAnsi="Lucida Sans Unicode" w:cs="Lucida Sans Unicode"/>
                <w:b/>
                <w:sz w:val="22"/>
                <w:szCs w:val="22"/>
              </w:rPr>
              <w:t>Disaster Recovery</w:t>
            </w:r>
            <w:r>
              <w:rPr>
                <w:rFonts w:ascii="Lucida Sans Unicode" w:hAnsi="Lucida Sans Unicode" w:cs="Lucida Sans Unicode"/>
                <w:b/>
                <w:sz w:val="22"/>
                <w:szCs w:val="22"/>
              </w:rPr>
              <w:tab/>
            </w:r>
          </w:p>
        </w:tc>
        <w:tc>
          <w:tcPr>
            <w:tcW w:w="10620" w:type="dxa"/>
            <w:gridSpan w:val="3"/>
            <w:tcBorders>
              <w:top w:val="single" w:sz="18" w:space="0" w:color="FFFFFF"/>
              <w:bottom w:val="single" w:sz="18" w:space="0" w:color="FFFFFF"/>
            </w:tcBorders>
            <w:shd w:val="clear" w:color="000000" w:fill="auto"/>
          </w:tcPr>
          <w:p w:rsidR="00672135" w:rsidRDefault="00672135" w:rsidP="00A22407">
            <w:pPr>
              <w:widowControl w:val="0"/>
              <w:spacing w:before="100" w:beforeAutospacing="1" w:after="100" w:afterAutospacing="1"/>
            </w:pPr>
            <w:r>
              <w:t>Disaster recovery plan for data, physical assets and the human beings, have become the standard of Practice in the Fund Management industry.</w:t>
            </w:r>
          </w:p>
        </w:tc>
      </w:tr>
      <w:tr w:rsidR="00AD72F6" w:rsidTr="00AD72F6">
        <w:tc>
          <w:tcPr>
            <w:tcW w:w="4608" w:type="dxa"/>
            <w:tcBorders>
              <w:top w:val="single" w:sz="18" w:space="0" w:color="FFFFFF"/>
              <w:bottom w:val="single" w:sz="18" w:space="0" w:color="FFFFFF"/>
            </w:tcBorders>
            <w:shd w:val="clear" w:color="000000" w:fill="auto"/>
          </w:tcPr>
          <w:p w:rsidR="00AD72F6" w:rsidRDefault="00AD72F6" w:rsidP="009320A8">
            <w:pPr>
              <w:widowControl w:val="0"/>
              <w:tabs>
                <w:tab w:val="left" w:pos="2985"/>
              </w:tabs>
              <w:spacing w:before="100" w:beforeAutospacing="1" w:after="100" w:afterAutospacing="1"/>
              <w:rPr>
                <w:rFonts w:ascii="Lucida Sans Unicode" w:hAnsi="Lucida Sans Unicode" w:cs="Lucida Sans Unicode"/>
                <w:b/>
                <w:sz w:val="22"/>
                <w:szCs w:val="22"/>
              </w:rPr>
            </w:pPr>
          </w:p>
        </w:tc>
        <w:tc>
          <w:tcPr>
            <w:tcW w:w="4590" w:type="dxa"/>
            <w:gridSpan w:val="2"/>
            <w:tcBorders>
              <w:top w:val="single" w:sz="18" w:space="0" w:color="FFFFFF"/>
              <w:bottom w:val="single" w:sz="18" w:space="0" w:color="FFFFFF"/>
            </w:tcBorders>
            <w:shd w:val="clear" w:color="000000" w:fill="auto"/>
          </w:tcPr>
          <w:p w:rsidR="00AD72F6" w:rsidRDefault="00AD72F6" w:rsidP="00A22407">
            <w:pPr>
              <w:widowControl w:val="0"/>
              <w:spacing w:before="100" w:beforeAutospacing="1" w:after="100" w:afterAutospacing="1"/>
            </w:pPr>
          </w:p>
        </w:tc>
        <w:tc>
          <w:tcPr>
            <w:tcW w:w="6030" w:type="dxa"/>
            <w:tcBorders>
              <w:top w:val="single" w:sz="18" w:space="0" w:color="FFFFFF"/>
              <w:bottom w:val="single" w:sz="18" w:space="0" w:color="FFFFFF"/>
            </w:tcBorders>
            <w:shd w:val="clear" w:color="000000" w:fill="auto"/>
          </w:tcPr>
          <w:p w:rsidR="00AD72F6" w:rsidRDefault="00AD72F6" w:rsidP="00A22407">
            <w:pPr>
              <w:widowControl w:val="0"/>
              <w:spacing w:before="100" w:beforeAutospacing="1" w:after="100" w:afterAutospacing="1"/>
            </w:pPr>
          </w:p>
        </w:tc>
      </w:tr>
      <w:tr w:rsidR="00AD72F6" w:rsidTr="00AD72F6">
        <w:tc>
          <w:tcPr>
            <w:tcW w:w="4608" w:type="dxa"/>
            <w:tcBorders>
              <w:top w:val="single" w:sz="18" w:space="0" w:color="FFFFFF"/>
              <w:bottom w:val="single" w:sz="18" w:space="0" w:color="FFFFFF"/>
            </w:tcBorders>
            <w:shd w:val="clear" w:color="000000" w:fill="D9D9D9" w:themeFill="background1" w:themeFillShade="D9"/>
          </w:tcPr>
          <w:p w:rsidR="00AD72F6" w:rsidRDefault="00672135" w:rsidP="00F2714D">
            <w:pPr>
              <w:widowControl w:val="0"/>
              <w:tabs>
                <w:tab w:val="left" w:pos="2985"/>
              </w:tabs>
              <w:spacing w:before="100" w:beforeAutospacing="1" w:after="100" w:afterAutospacing="1"/>
              <w:rPr>
                <w:rFonts w:ascii="Lucida Sans Unicode" w:hAnsi="Lucida Sans Unicode" w:cs="Lucida Sans Unicode"/>
                <w:b/>
                <w:sz w:val="22"/>
                <w:szCs w:val="22"/>
              </w:rPr>
            </w:pPr>
            <w:r w:rsidRPr="00AD72F6">
              <w:rPr>
                <w:rFonts w:ascii="Lucida Sans Unicode" w:hAnsi="Lucida Sans Unicode" w:cs="Lucida Sans Unicode"/>
                <w:b/>
                <w:sz w:val="22"/>
                <w:szCs w:val="22"/>
              </w:rPr>
              <w:t xml:space="preserve">NFA and CFTC </w:t>
            </w:r>
            <w:r w:rsidR="00EF5244">
              <w:rPr>
                <w:rFonts w:ascii="Lucida Sans Unicode" w:hAnsi="Lucida Sans Unicode" w:cs="Lucida Sans Unicode"/>
                <w:b/>
                <w:sz w:val="22"/>
                <w:szCs w:val="22"/>
              </w:rPr>
              <w:t xml:space="preserve"> - </w:t>
            </w:r>
            <w:r w:rsidRPr="00AD72F6">
              <w:rPr>
                <w:rFonts w:ascii="Lucida Sans Unicode" w:hAnsi="Lucida Sans Unicode" w:cs="Lucida Sans Unicode"/>
                <w:b/>
                <w:i/>
                <w:sz w:val="22"/>
                <w:szCs w:val="22"/>
              </w:rPr>
              <w:t>Registration of</w:t>
            </w:r>
            <w:r w:rsidRPr="00AD72F6">
              <w:rPr>
                <w:rFonts w:ascii="Lucida Sans Unicode" w:hAnsi="Lucida Sans Unicode" w:cs="Lucida Sans Unicode"/>
                <w:b/>
                <w:sz w:val="22"/>
                <w:szCs w:val="22"/>
              </w:rPr>
              <w:t xml:space="preserve"> </w:t>
            </w:r>
            <w:r w:rsidRPr="00AD72F6">
              <w:rPr>
                <w:rFonts w:ascii="Lucida Sans Unicode" w:hAnsi="Lucida Sans Unicode" w:cs="Lucida Sans Unicode"/>
                <w:b/>
                <w:i/>
                <w:sz w:val="22"/>
                <w:szCs w:val="22"/>
              </w:rPr>
              <w:t>People and Entities</w:t>
            </w:r>
            <w:r w:rsidRPr="00AD72F6">
              <w:rPr>
                <w:rFonts w:ascii="Lucida Sans Unicode" w:hAnsi="Lucida Sans Unicode" w:cs="Lucida Sans Unicode"/>
                <w:b/>
                <w:sz w:val="22"/>
                <w:szCs w:val="22"/>
              </w:rPr>
              <w:t xml:space="preserve"> </w:t>
            </w:r>
            <w:r>
              <w:rPr>
                <w:rFonts w:ascii="Lucida Sans Unicode" w:hAnsi="Lucida Sans Unicode" w:cs="Lucida Sans Unicode"/>
                <w:b/>
                <w:sz w:val="22"/>
                <w:szCs w:val="22"/>
              </w:rPr>
              <w:t xml:space="preserve"> </w:t>
            </w:r>
            <w:r w:rsidRPr="00AD72F6">
              <w:rPr>
                <w:rFonts w:ascii="Lucida Sans Unicode" w:hAnsi="Lucida Sans Unicode" w:cs="Lucida Sans Unicode"/>
                <w:b/>
                <w:sz w:val="22"/>
                <w:szCs w:val="22"/>
              </w:rPr>
              <w:t>Offering the Fund</w:t>
            </w:r>
            <w:r>
              <w:rPr>
                <w:rFonts w:ascii="Lucida Sans Unicode" w:hAnsi="Lucida Sans Unicode" w:cs="Lucida Sans Unicode"/>
                <w:b/>
                <w:sz w:val="22"/>
                <w:szCs w:val="22"/>
              </w:rPr>
              <w:t xml:space="preserve"> - </w:t>
            </w:r>
            <w:r w:rsidR="00AD72F6">
              <w:rPr>
                <w:rFonts w:ascii="Lucida Sans Unicode" w:hAnsi="Lucida Sans Unicode" w:cs="Lucida Sans Unicode"/>
                <w:b/>
                <w:sz w:val="22"/>
                <w:szCs w:val="22"/>
              </w:rPr>
              <w:t>Commodities Exchange Act Applicability</w:t>
            </w:r>
          </w:p>
        </w:tc>
        <w:tc>
          <w:tcPr>
            <w:tcW w:w="10620" w:type="dxa"/>
            <w:gridSpan w:val="3"/>
            <w:tcBorders>
              <w:top w:val="single" w:sz="18" w:space="0" w:color="FFFFFF"/>
              <w:bottom w:val="single" w:sz="18" w:space="0" w:color="FFFFFF"/>
            </w:tcBorders>
            <w:shd w:val="clear" w:color="000000" w:fill="D9D9D9" w:themeFill="background1" w:themeFillShade="D9"/>
          </w:tcPr>
          <w:p w:rsidR="00EF5244" w:rsidRDefault="00EF5244" w:rsidP="00EF5244">
            <w:pPr>
              <w:widowControl w:val="0"/>
            </w:pPr>
            <w:r w:rsidRPr="00AD72F6">
              <w:t xml:space="preserve">Commodities Exchange Act applies </w:t>
            </w:r>
            <w:r>
              <w:t>even if</w:t>
            </w:r>
            <w:r w:rsidRPr="00AD72F6">
              <w:t xml:space="preserve"> only 1 futures contract will be traded for the fund (“commodity pool”).  Even using futures to hedge in a securities fund, can trigger CEA applicability.</w:t>
            </w:r>
            <w:r w:rsidR="00816727">
              <w:t xml:space="preserve"> Even fund-of-funds that invest in funds that invest in commodities or futures are deemed to be commodity pools.</w:t>
            </w:r>
          </w:p>
          <w:p w:rsidR="00EF5244" w:rsidRDefault="00EF5244" w:rsidP="00EF5244"/>
          <w:p w:rsidR="00EF5244" w:rsidRDefault="00EF5244" w:rsidP="00EF5244">
            <w:pPr>
              <w:keepNext/>
              <w:keepLines/>
              <w:numPr>
                <w:ilvl w:val="0"/>
                <w:numId w:val="7"/>
              </w:numPr>
              <w:ind w:left="0"/>
            </w:pPr>
            <w:r w:rsidRPr="00AD72F6">
              <w:t>Register the people with NFA / CFTC on Form 8-R online as associated persons.</w:t>
            </w:r>
            <w:r>
              <w:t xml:space="preserve"> Easy registration as long as background checks are clear.</w:t>
            </w:r>
          </w:p>
          <w:p w:rsidR="00EF5244" w:rsidRPr="00AD72F6" w:rsidRDefault="00EF5244" w:rsidP="00EF5244">
            <w:pPr>
              <w:keepNext/>
              <w:keepLines/>
              <w:numPr>
                <w:ilvl w:val="0"/>
                <w:numId w:val="7"/>
              </w:numPr>
              <w:ind w:left="0"/>
            </w:pPr>
          </w:p>
          <w:p w:rsidR="007B4417" w:rsidRPr="00AD72F6" w:rsidRDefault="007B4417" w:rsidP="007B4417">
            <w:pPr>
              <w:keepNext/>
              <w:keepLines/>
              <w:numPr>
                <w:ilvl w:val="0"/>
                <w:numId w:val="7"/>
              </w:numPr>
              <w:ind w:left="0"/>
            </w:pPr>
            <w:r w:rsidRPr="00AD72F6">
              <w:t>Need Fingerprint cards.</w:t>
            </w:r>
          </w:p>
          <w:p w:rsidR="007B4417" w:rsidRDefault="007B4417" w:rsidP="00EF5244">
            <w:pPr>
              <w:keepNext/>
              <w:keepLines/>
              <w:numPr>
                <w:ilvl w:val="0"/>
                <w:numId w:val="7"/>
              </w:numPr>
              <w:ind w:left="0"/>
            </w:pPr>
          </w:p>
          <w:p w:rsidR="00EF5244" w:rsidRDefault="00EF5244" w:rsidP="00EF5244">
            <w:pPr>
              <w:keepNext/>
              <w:keepLines/>
              <w:numPr>
                <w:ilvl w:val="0"/>
                <w:numId w:val="7"/>
              </w:numPr>
              <w:ind w:left="0"/>
            </w:pPr>
            <w:r>
              <w:t>Need Series 3 Exam</w:t>
            </w:r>
            <w:r w:rsidR="00F2714D">
              <w:t xml:space="preserve">.  </w:t>
            </w:r>
            <w:r>
              <w:t>Series 30 for “Branch Manager”</w:t>
            </w:r>
            <w:r w:rsidR="00F2714D">
              <w:t xml:space="preserve"> (or 32 if in Canada or UK)</w:t>
            </w:r>
            <w:r>
              <w:t xml:space="preserve"> if there is an office separate from the main office (working from a home office = a “branch office”). Series 31 is the “Futures Managed Funds” Exam, not required, but</w:t>
            </w:r>
            <w:r w:rsidR="009515A6">
              <w:t xml:space="preserve"> demonstrates subject matter ex</w:t>
            </w:r>
            <w:r>
              <w:t>pertise to have the certification.</w:t>
            </w:r>
            <w:r w:rsidR="00F2714D">
              <w:t xml:space="preserve"> No Futures Principals exam, unless your firm is a notice-registered BD firm. </w:t>
            </w:r>
          </w:p>
          <w:p w:rsidR="00F2714D" w:rsidRDefault="00F2714D" w:rsidP="00EF5244">
            <w:pPr>
              <w:keepNext/>
              <w:keepLines/>
              <w:numPr>
                <w:ilvl w:val="0"/>
                <w:numId w:val="7"/>
              </w:numPr>
              <w:ind w:left="0"/>
            </w:pPr>
          </w:p>
          <w:p w:rsidR="00F2714D" w:rsidRPr="00AD72F6" w:rsidRDefault="00F2714D" w:rsidP="00EF5244">
            <w:pPr>
              <w:keepNext/>
              <w:keepLines/>
              <w:numPr>
                <w:ilvl w:val="0"/>
                <w:numId w:val="7"/>
              </w:numPr>
              <w:ind w:left="0"/>
            </w:pPr>
            <w:r>
              <w:t xml:space="preserve">If firm is dually registered as a broker-dealer, </w:t>
            </w:r>
            <w:r w:rsidR="007B4417">
              <w:t xml:space="preserve"> </w:t>
            </w:r>
            <w:r w:rsidR="000763BB">
              <w:rPr>
                <w:lang w:val="en"/>
              </w:rPr>
              <w:t>NFA will accept the Series 9 or</w:t>
            </w:r>
            <w:r w:rsidR="007B4417">
              <w:rPr>
                <w:lang w:val="en"/>
              </w:rPr>
              <w:t xml:space="preserve"> 10</w:t>
            </w:r>
            <w:r w:rsidR="000763BB">
              <w:rPr>
                <w:lang w:val="en"/>
              </w:rPr>
              <w:t xml:space="preserve"> (supervisory exams)</w:t>
            </w:r>
            <w:r w:rsidR="007B4417">
              <w:rPr>
                <w:lang w:val="en"/>
              </w:rPr>
              <w:t xml:space="preserve"> or 24</w:t>
            </w:r>
            <w:r w:rsidR="000763BB">
              <w:rPr>
                <w:lang w:val="en"/>
              </w:rPr>
              <w:t xml:space="preserve"> (general securities principal exam)</w:t>
            </w:r>
            <w:r w:rsidR="007B4417">
              <w:rPr>
                <w:lang w:val="en"/>
              </w:rPr>
              <w:t xml:space="preserve"> as the principals or branch manager’s exam.</w:t>
            </w:r>
          </w:p>
          <w:p w:rsidR="009515A6" w:rsidRDefault="009515A6" w:rsidP="00EF5244">
            <w:pPr>
              <w:keepNext/>
              <w:keepLines/>
              <w:numPr>
                <w:ilvl w:val="0"/>
                <w:numId w:val="7"/>
              </w:numPr>
              <w:ind w:left="0"/>
            </w:pPr>
          </w:p>
          <w:p w:rsidR="00EF5244" w:rsidRPr="00AD72F6" w:rsidRDefault="00EF5244" w:rsidP="007B4417">
            <w:pPr>
              <w:keepNext/>
              <w:keepLines/>
              <w:numPr>
                <w:ilvl w:val="0"/>
                <w:numId w:val="7"/>
              </w:numPr>
              <w:ind w:left="0"/>
            </w:pPr>
            <w:r w:rsidRPr="00AD72F6">
              <w:t>Register the Fund Manager (“sponsor”) with NFA  / CFTC as a Commodity Pool Operator</w:t>
            </w:r>
            <w:r w:rsidRPr="00AD72F6">
              <w:rPr>
                <w:rStyle w:val="FootnoteReference"/>
              </w:rPr>
              <w:footnoteReference w:id="1"/>
            </w:r>
            <w:r w:rsidRPr="00AD72F6">
              <w:t xml:space="preserve"> (CPO) and as a Commodity Trading Advisor (CTA) on Form 7-R.</w:t>
            </w:r>
          </w:p>
        </w:tc>
      </w:tr>
      <w:tr w:rsidR="00AD72F6" w:rsidTr="00AD72F6">
        <w:tc>
          <w:tcPr>
            <w:tcW w:w="4608" w:type="dxa"/>
            <w:tcBorders>
              <w:top w:val="single" w:sz="18" w:space="0" w:color="FFFFFF"/>
              <w:bottom w:val="single" w:sz="18" w:space="0" w:color="FFFFFF"/>
            </w:tcBorders>
            <w:shd w:val="clear" w:color="000000" w:fill="FFFFFF" w:themeFill="background1"/>
          </w:tcPr>
          <w:p w:rsidR="00AD72F6" w:rsidRPr="00AD72F6" w:rsidRDefault="00AD72F6" w:rsidP="00672135">
            <w:pPr>
              <w:keepNext/>
              <w:keepLines/>
              <w:spacing w:before="100" w:beforeAutospacing="1" w:after="100" w:afterAutospacing="1"/>
              <w:rPr>
                <w:rFonts w:ascii="Lucida Sans Unicode" w:hAnsi="Lucida Sans Unicode" w:cs="Lucida Sans Unicode"/>
                <w:b/>
                <w:sz w:val="22"/>
                <w:szCs w:val="22"/>
              </w:rPr>
            </w:pPr>
          </w:p>
        </w:tc>
        <w:tc>
          <w:tcPr>
            <w:tcW w:w="3870" w:type="dxa"/>
            <w:tcBorders>
              <w:top w:val="single" w:sz="18" w:space="0" w:color="FFFFFF"/>
              <w:bottom w:val="single" w:sz="18" w:space="0" w:color="FFFFFF"/>
            </w:tcBorders>
            <w:shd w:val="clear" w:color="000000" w:fill="FFFFFF" w:themeFill="background1"/>
          </w:tcPr>
          <w:p w:rsidR="00AD72F6" w:rsidRPr="00AD72F6" w:rsidRDefault="00AD72F6" w:rsidP="00AD72F6">
            <w:pPr>
              <w:keepNext/>
              <w:keepLines/>
              <w:spacing w:before="100" w:beforeAutospacing="1" w:after="100" w:afterAutospacing="1"/>
            </w:pPr>
          </w:p>
        </w:tc>
        <w:tc>
          <w:tcPr>
            <w:tcW w:w="6750" w:type="dxa"/>
            <w:gridSpan w:val="2"/>
            <w:tcBorders>
              <w:top w:val="single" w:sz="18" w:space="0" w:color="FFFFFF"/>
              <w:bottom w:val="single" w:sz="18" w:space="0" w:color="FFFFFF"/>
            </w:tcBorders>
            <w:shd w:val="clear" w:color="000000" w:fill="FFFFFF" w:themeFill="background1"/>
          </w:tcPr>
          <w:p w:rsidR="00AD72F6" w:rsidRPr="00AD72F6" w:rsidRDefault="00AD72F6" w:rsidP="00F2714D">
            <w:pPr>
              <w:keepNext/>
              <w:keepLines/>
              <w:ind w:left="360"/>
            </w:pPr>
          </w:p>
        </w:tc>
      </w:tr>
      <w:tr w:rsidR="00EF5244" w:rsidTr="009515A6">
        <w:tc>
          <w:tcPr>
            <w:tcW w:w="4608" w:type="dxa"/>
            <w:tcBorders>
              <w:top w:val="single" w:sz="18" w:space="0" w:color="FFFFFF"/>
              <w:bottom w:val="single" w:sz="18" w:space="0" w:color="FFFFFF"/>
            </w:tcBorders>
            <w:shd w:val="clear" w:color="000000" w:fill="D9D9D9" w:themeFill="background1" w:themeFillShade="D9"/>
          </w:tcPr>
          <w:p w:rsidR="00EF5244" w:rsidRPr="00672135" w:rsidRDefault="00EF5244" w:rsidP="00672135">
            <w:pPr>
              <w:widowControl w:val="0"/>
              <w:spacing w:before="100" w:beforeAutospacing="1" w:after="100" w:afterAutospacing="1"/>
              <w:rPr>
                <w:rFonts w:ascii="Lucida Sans Unicode" w:hAnsi="Lucida Sans Unicode" w:cs="Lucida Sans Unicode"/>
                <w:b/>
                <w:i/>
                <w:sz w:val="22"/>
                <w:szCs w:val="22"/>
              </w:rPr>
            </w:pPr>
            <w:r w:rsidRPr="00AD72F6">
              <w:rPr>
                <w:rFonts w:ascii="Lucida Sans Unicode" w:hAnsi="Lucida Sans Unicode" w:cs="Lucida Sans Unicode"/>
                <w:b/>
                <w:sz w:val="22"/>
                <w:szCs w:val="22"/>
              </w:rPr>
              <w:t xml:space="preserve">NFA and CFTC </w:t>
            </w:r>
            <w:r>
              <w:rPr>
                <w:rFonts w:ascii="Lucida Sans Unicode" w:hAnsi="Lucida Sans Unicode" w:cs="Lucida Sans Unicode"/>
                <w:b/>
                <w:sz w:val="22"/>
                <w:szCs w:val="22"/>
              </w:rPr>
              <w:t xml:space="preserve"> - </w:t>
            </w:r>
            <w:r w:rsidRPr="00AD72F6">
              <w:rPr>
                <w:rFonts w:ascii="Lucida Sans Unicode" w:hAnsi="Lucida Sans Unicode" w:cs="Lucida Sans Unicode"/>
                <w:b/>
                <w:i/>
                <w:sz w:val="22"/>
                <w:szCs w:val="22"/>
              </w:rPr>
              <w:t>Registration - or Exemption – of the Fund Itself</w:t>
            </w:r>
            <w:r>
              <w:rPr>
                <w:rFonts w:ascii="Lucida Sans Unicode" w:hAnsi="Lucida Sans Unicode" w:cs="Lucida Sans Unicode"/>
                <w:b/>
                <w:i/>
                <w:sz w:val="22"/>
                <w:szCs w:val="22"/>
              </w:rPr>
              <w:t xml:space="preserve">- </w:t>
            </w:r>
            <w:r w:rsidRPr="00AD72F6">
              <w:rPr>
                <w:rFonts w:ascii="Lucida Sans Unicode" w:hAnsi="Lucida Sans Unicode" w:cs="Lucida Sans Unicode"/>
                <w:b/>
                <w:sz w:val="22"/>
                <w:szCs w:val="22"/>
              </w:rPr>
              <w:t>Commodities Exchange Act –</w:t>
            </w:r>
          </w:p>
        </w:tc>
        <w:tc>
          <w:tcPr>
            <w:tcW w:w="10620" w:type="dxa"/>
            <w:gridSpan w:val="3"/>
            <w:tcBorders>
              <w:top w:val="single" w:sz="18" w:space="0" w:color="FFFFFF"/>
              <w:bottom w:val="single" w:sz="18" w:space="0" w:color="FFFFFF"/>
            </w:tcBorders>
            <w:shd w:val="clear" w:color="000000" w:fill="D9D9D9" w:themeFill="background1" w:themeFillShade="D9"/>
          </w:tcPr>
          <w:p w:rsidR="00EF5244" w:rsidRDefault="00EF5244" w:rsidP="00EF5244">
            <w:pPr>
              <w:widowControl w:val="0"/>
            </w:pPr>
            <w:r w:rsidRPr="00AD72F6">
              <w:t xml:space="preserve">Commodities Exchange Act applies </w:t>
            </w:r>
            <w:r>
              <w:t>even if</w:t>
            </w:r>
            <w:r w:rsidRPr="00AD72F6">
              <w:t xml:space="preserve"> only 1 futures contract will be traded for the fund (“commodity pool”).  Even using futures to hedge in a securities fund, can trigger CEA applicability.</w:t>
            </w:r>
            <w:r w:rsidR="00816727">
              <w:t xml:space="preserve">  </w:t>
            </w:r>
            <w:r w:rsidR="00816727">
              <w:t>Even fund-of-funds that invest in funds that invest in commodities or futures are deemed to be commodity pools.</w:t>
            </w:r>
          </w:p>
          <w:p w:rsidR="00AA3927" w:rsidRDefault="00EF5244" w:rsidP="007B4417">
            <w:pPr>
              <w:widowControl w:val="0"/>
              <w:spacing w:before="100" w:beforeAutospacing="1" w:after="100" w:afterAutospacing="1"/>
            </w:pPr>
            <w:r w:rsidRPr="00AD72F6">
              <w:t xml:space="preserve">Register Fund with CFTC &amp; NFA as “Commodity Pool” </w:t>
            </w:r>
            <w:r w:rsidRPr="00AD72F6">
              <w:rPr>
                <w:rStyle w:val="FootnoteReference"/>
              </w:rPr>
              <w:footnoteReference w:id="2"/>
            </w:r>
            <w:r w:rsidRPr="00AD72F6">
              <w:t xml:space="preserve">  NFA review easier than CFTC.</w:t>
            </w:r>
            <w:r w:rsidRPr="00AD72F6">
              <w:rPr>
                <w:rStyle w:val="FootnoteReference"/>
              </w:rPr>
              <w:footnoteReference w:id="3"/>
            </w:r>
            <w:r>
              <w:t xml:space="preserve"> </w:t>
            </w:r>
          </w:p>
          <w:p w:rsidR="00AA3927" w:rsidRDefault="00EF5244" w:rsidP="007B4417">
            <w:pPr>
              <w:widowControl w:val="0"/>
              <w:spacing w:before="100" w:beforeAutospacing="1" w:after="100" w:afterAutospacing="1"/>
            </w:pPr>
            <w:r>
              <w:t xml:space="preserve">Most private funds are exempt from CFTC registration, </w:t>
            </w:r>
            <w:r w:rsidR="00AA3927">
              <w:t xml:space="preserve">or exempt with a simple notice filing. </w:t>
            </w:r>
          </w:p>
          <w:p w:rsidR="00EF5244" w:rsidRPr="00AD72F6" w:rsidRDefault="00AA3927" w:rsidP="007B4417">
            <w:pPr>
              <w:widowControl w:val="0"/>
              <w:spacing w:before="100" w:beforeAutospacing="1" w:after="100" w:afterAutospacing="1"/>
            </w:pPr>
            <w:r>
              <w:t>But NFA filings</w:t>
            </w:r>
            <w:r w:rsidR="00EF5244">
              <w:t xml:space="preserve"> still required</w:t>
            </w:r>
            <w:r>
              <w:t xml:space="preserve"> for exempt funds, to register fund manager</w:t>
            </w:r>
            <w:r w:rsidR="00EF5244">
              <w:t xml:space="preserve"> as CPO and CTA, plus fund exemption notice required.</w:t>
            </w:r>
            <w:r w:rsidR="007B4417">
              <w:t xml:space="preserve"> </w:t>
            </w:r>
            <w:r>
              <w:t xml:space="preserve"> </w:t>
            </w:r>
            <w:r w:rsidR="007B4417" w:rsidRPr="00AD72F6">
              <w:t>Register the Fund Manager (“sponsor”) with NFA as a Commodity Pool Operator</w:t>
            </w:r>
            <w:r w:rsidR="007B4417" w:rsidRPr="00AD72F6">
              <w:rPr>
                <w:rStyle w:val="FootnoteReference"/>
              </w:rPr>
              <w:footnoteReference w:id="4"/>
            </w:r>
            <w:r w:rsidR="007B4417" w:rsidRPr="00AD72F6">
              <w:t xml:space="preserve"> (CPO) and as a Commodity Trading Advisor (CTA) on Form 7-R.</w:t>
            </w:r>
          </w:p>
          <w:p w:rsidR="00EF5244" w:rsidRPr="00AD72F6" w:rsidRDefault="0086705A" w:rsidP="00EF5244">
            <w:pPr>
              <w:widowControl w:val="0"/>
              <w:spacing w:before="100" w:beforeAutospacing="1" w:after="100" w:afterAutospacing="1"/>
            </w:pPr>
            <w:r>
              <w:t xml:space="preserve">Commonly used </w:t>
            </w:r>
            <w:r w:rsidR="00EF5244" w:rsidRPr="00AD72F6">
              <w:t>Exemptions from full CFTC registration</w:t>
            </w:r>
            <w:r w:rsidR="00AA3927">
              <w:t xml:space="preserve"> listed below;</w:t>
            </w:r>
            <w:r w:rsidR="00EF5244" w:rsidRPr="00AD72F6">
              <w:t xml:space="preserve"> but</w:t>
            </w:r>
            <w:r w:rsidR="00AA3927">
              <w:t xml:space="preserve"> </w:t>
            </w:r>
            <w:r w:rsidR="00EF5244" w:rsidRPr="00AD72F6">
              <w:t>NFA Notice Filings still required before offers are made:</w:t>
            </w:r>
          </w:p>
          <w:p w:rsidR="00816727" w:rsidRDefault="00816727" w:rsidP="00816727">
            <w:pPr>
              <w:widowControl w:val="0"/>
              <w:spacing w:before="100" w:beforeAutospacing="1" w:after="100" w:afterAutospacing="1"/>
            </w:pPr>
            <w:r>
              <w:t>Rule 4.13(a)(1) Closely Held Pool – Manager operates only 1 fund;  Manager does not receive from the</w:t>
            </w:r>
            <w:r w:rsidRPr="00AD72F6">
              <w:t xml:space="preserve"> fund </w:t>
            </w:r>
            <w:r>
              <w:t>any management fees or compensation (</w:t>
            </w:r>
            <w:r w:rsidRPr="00AD72F6">
              <w:rPr>
                <w:u w:val="single"/>
              </w:rPr>
              <w:t>only</w:t>
            </w:r>
            <w:r>
              <w:t xml:space="preserve"> administrative expense reimbursement). No advertising.</w:t>
            </w:r>
          </w:p>
          <w:p w:rsidR="00EF5244" w:rsidRDefault="00EF5244" w:rsidP="00EF5244">
            <w:pPr>
              <w:widowControl w:val="0"/>
              <w:spacing w:before="100" w:beforeAutospacing="1" w:after="100" w:afterAutospacing="1"/>
            </w:pPr>
            <w:r w:rsidRPr="00AD72F6">
              <w:t>Rule 4.13</w:t>
            </w:r>
            <w:r w:rsidR="000910FE">
              <w:t>(a)(2)</w:t>
            </w:r>
            <w:r w:rsidRPr="00AD72F6">
              <w:t xml:space="preserve">: </w:t>
            </w:r>
            <w:r w:rsidR="0086705A">
              <w:t>Small Pool - T</w:t>
            </w:r>
            <w:r w:rsidRPr="00AD72F6">
              <w:t xml:space="preserve">otal gross capital contributions of </w:t>
            </w:r>
            <w:r w:rsidRPr="00AD72F6">
              <w:rPr>
                <w:u w:val="single"/>
              </w:rPr>
              <w:t xml:space="preserve">&lt; </w:t>
            </w:r>
            <w:r w:rsidR="000910FE">
              <w:t>$4</w:t>
            </w:r>
            <w:r w:rsidRPr="00AD72F6">
              <w:t xml:space="preserve">00,000, and </w:t>
            </w:r>
            <w:r w:rsidRPr="00AD72F6">
              <w:rPr>
                <w:u w:val="single"/>
              </w:rPr>
              <w:t>&lt;</w:t>
            </w:r>
            <w:r w:rsidR="00B92327">
              <w:t xml:space="preserve"> 15 investors. Manager</w:t>
            </w:r>
            <w:r w:rsidR="0086705A">
              <w:t xml:space="preserve"> &amp; its principals, and their</w:t>
            </w:r>
            <w:r w:rsidR="00B92327">
              <w:t xml:space="preserve"> contributions</w:t>
            </w:r>
            <w:r w:rsidR="0086705A">
              <w:t>,</w:t>
            </w:r>
            <w:r w:rsidR="00B92327">
              <w:t xml:space="preserve"> excluded from the count toward </w:t>
            </w:r>
            <w:r w:rsidR="0086705A">
              <w:t xml:space="preserve">15 and </w:t>
            </w:r>
            <w:r w:rsidR="00B92327">
              <w:t>$400K.</w:t>
            </w:r>
          </w:p>
          <w:p w:rsidR="00816727" w:rsidRDefault="00816727" w:rsidP="00EF5244">
            <w:pPr>
              <w:widowControl w:val="0"/>
              <w:spacing w:before="100" w:beforeAutospacing="1" w:after="100" w:afterAutospacing="1"/>
            </w:pPr>
            <w:r>
              <w:t xml:space="preserve">Rule 4.13(a)(3) – De </w:t>
            </w:r>
            <w:r w:rsidR="00820F08">
              <w:t>minimus</w:t>
            </w:r>
            <w:r>
              <w:t xml:space="preserve"> – ’33 Act exempt, no </w:t>
            </w:r>
            <w:r w:rsidR="00820F08">
              <w:t>advertising</w:t>
            </w:r>
            <w:r>
              <w:t>, all accredited investors, and, either:</w:t>
            </w:r>
          </w:p>
          <w:p w:rsidR="00816727" w:rsidRDefault="00816727" w:rsidP="00816727">
            <w:pPr>
              <w:pStyle w:val="NormalWeb"/>
              <w:ind w:left="720"/>
            </w:pPr>
            <w:r>
              <w:t>a.    The aggregate initial margin and prem</w:t>
            </w:r>
            <w:r>
              <w:t xml:space="preserve">iums required to establish </w:t>
            </w:r>
            <w:r>
              <w:t xml:space="preserve">positions, determined </w:t>
            </w:r>
            <w:r>
              <w:t xml:space="preserve">when </w:t>
            </w:r>
            <w:r>
              <w:t xml:space="preserve">the most recent position was established, </w:t>
            </w:r>
            <w:r>
              <w:t xml:space="preserve">is </w:t>
            </w:r>
            <w:r w:rsidRPr="00816727">
              <w:rPr>
                <w:u w:val="single"/>
              </w:rPr>
              <w:t>&lt;</w:t>
            </w:r>
            <w:r>
              <w:t xml:space="preserve"> 5 %</w:t>
            </w:r>
            <w:r>
              <w:t xml:space="preserve"> of the liquidation value of the pool’s portfolio, after taking into account unrealized profits and unrealized losses on positions it </w:t>
            </w:r>
            <w:r>
              <w:t>holds</w:t>
            </w:r>
            <w:r>
              <w:t>; or</w:t>
            </w:r>
          </w:p>
          <w:p w:rsidR="00816727" w:rsidRDefault="00816727" w:rsidP="00816727">
            <w:pPr>
              <w:pStyle w:val="NormalWeb"/>
              <w:ind w:left="720"/>
            </w:pPr>
            <w:r>
              <w:t>b.    The aggr</w:t>
            </w:r>
            <w:r>
              <w:t>egate net notional value of</w:t>
            </w:r>
            <w:r>
              <w:t xml:space="preserve"> positions, determined </w:t>
            </w:r>
            <w:r>
              <w:t>when</w:t>
            </w:r>
            <w:r>
              <w:t xml:space="preserve"> the most recent position was established, </w:t>
            </w:r>
            <w:r>
              <w:t xml:space="preserve">is </w:t>
            </w:r>
            <w:r w:rsidRPr="00816727">
              <w:rPr>
                <w:u w:val="single"/>
              </w:rPr>
              <w:t>&lt;</w:t>
            </w:r>
            <w:r>
              <w:t xml:space="preserve"> 100 %</w:t>
            </w:r>
            <w:r>
              <w:t xml:space="preserve"> of the liquidation value of the pool’s portfolio, after taking into account unrealized profits and unrealized losses on positions </w:t>
            </w:r>
            <w:r>
              <w:t>it holds.</w:t>
            </w:r>
          </w:p>
          <w:p w:rsidR="00EF5244" w:rsidRDefault="0086705A" w:rsidP="00EF5244">
            <w:pPr>
              <w:widowControl w:val="0"/>
              <w:spacing w:before="100" w:beforeAutospacing="1" w:after="100" w:afterAutospacing="1"/>
            </w:pPr>
            <w:r>
              <w:t>Rule 4.13(a)(4) – All QEP Investor Fund</w:t>
            </w:r>
            <w:r w:rsidR="00816727">
              <w:t xml:space="preserve"> (a 3(c)(7) fund)</w:t>
            </w:r>
            <w:r>
              <w:t xml:space="preserve"> – ’33 Act Exempt Fund, no advertising, all investors are QEPs.  For a registered CPO, Rule 4.7 allows l</w:t>
            </w:r>
            <w:r w:rsidR="00EF5244" w:rsidRPr="00AD72F6">
              <w:t>ess than full disclosure requirements, shorter doc, fewer reporting requirements</w:t>
            </w:r>
            <w:r>
              <w:t xml:space="preserve"> for the QEP Fund</w:t>
            </w:r>
            <w:r w:rsidR="00EF5244" w:rsidRPr="00AD72F6">
              <w:t>.</w:t>
            </w:r>
            <w:r>
              <w:t xml:space="preserve">  Notice Filing Required.</w:t>
            </w:r>
          </w:p>
          <w:p w:rsidR="000910FE" w:rsidRDefault="000910FE" w:rsidP="00EF5244">
            <w:pPr>
              <w:widowControl w:val="0"/>
              <w:spacing w:before="100" w:beforeAutospacing="1" w:after="100" w:afterAutospacing="1"/>
            </w:pPr>
            <w:r>
              <w:t>Rule 4.13(a)(3) Fund of Funds exemption</w:t>
            </w:r>
          </w:p>
          <w:p w:rsidR="00EF5244" w:rsidRPr="00AD72F6" w:rsidRDefault="00820F08" w:rsidP="00AD72F6">
            <w:pPr>
              <w:widowControl w:val="0"/>
              <w:spacing w:before="100" w:beforeAutospacing="1" w:after="100" w:afterAutospacing="1"/>
            </w:pPr>
            <w:r>
              <w:t>Rule 4.12 – For Registered CPOs:  Limits the amount of commodities held by the pool to</w:t>
            </w:r>
            <w:r w:rsidR="00EF5244" w:rsidRPr="00AD72F6">
              <w:t xml:space="preserve"> </w:t>
            </w:r>
            <w:r w:rsidR="00EF5244" w:rsidRPr="00820F08">
              <w:rPr>
                <w:u w:val="single"/>
              </w:rPr>
              <w:t>&lt;</w:t>
            </w:r>
            <w:r w:rsidR="00EF5244" w:rsidRPr="00AD72F6">
              <w:t xml:space="preserve">10% of the </w:t>
            </w:r>
            <w:r>
              <w:t xml:space="preserve">fund’s assets, and all futures trading must be only incidental to securities trading activity.  File Notice and provide disclosure.  </w:t>
            </w:r>
            <w:r w:rsidR="00A03EE6">
              <w:t>F</w:t>
            </w:r>
            <w:bookmarkStart w:id="0" w:name="_GoBack"/>
            <w:bookmarkEnd w:id="0"/>
            <w:r w:rsidR="00EF5244" w:rsidRPr="00AD72F6">
              <w:t>und relieved of CFTC commodity pool record keeping (Rule 4.12).</w:t>
            </w:r>
          </w:p>
          <w:p w:rsidR="00EF5244" w:rsidRPr="00AD72F6" w:rsidRDefault="00EF5244" w:rsidP="00AD72F6">
            <w:pPr>
              <w:widowControl w:val="0"/>
              <w:spacing w:before="100" w:beforeAutospacing="1" w:after="100" w:afterAutospacing="1"/>
            </w:pPr>
            <w:r w:rsidRPr="00AD72F6">
              <w:t xml:space="preserve">Disclosure doc less complex, customer account opening documents not required if already </w:t>
            </w:r>
            <w:r w:rsidR="00A12067">
              <w:t>done on the securities side</w:t>
            </w:r>
            <w:r w:rsidRPr="00AD72F6">
              <w:t>.</w:t>
            </w:r>
          </w:p>
          <w:p w:rsidR="00EF5244" w:rsidRPr="00AD72F6" w:rsidRDefault="00EF5244" w:rsidP="00AD72F6">
            <w:pPr>
              <w:widowControl w:val="0"/>
              <w:spacing w:before="100" w:beforeAutospacing="1" w:after="100" w:afterAutospacing="1"/>
            </w:pPr>
          </w:p>
        </w:tc>
      </w:tr>
      <w:tr w:rsidR="009515A6" w:rsidTr="009515A6">
        <w:tc>
          <w:tcPr>
            <w:tcW w:w="4608" w:type="dxa"/>
            <w:tcBorders>
              <w:top w:val="single" w:sz="18" w:space="0" w:color="FFFFFF"/>
              <w:bottom w:val="single" w:sz="18" w:space="0" w:color="FFFFFF"/>
            </w:tcBorders>
            <w:shd w:val="clear" w:color="000000" w:fill="FFFFFF" w:themeFill="background1"/>
          </w:tcPr>
          <w:p w:rsidR="009515A6" w:rsidRPr="00AD72F6" w:rsidRDefault="009515A6" w:rsidP="00672135">
            <w:pPr>
              <w:widowControl w:val="0"/>
              <w:spacing w:before="100" w:beforeAutospacing="1" w:after="100" w:afterAutospacing="1"/>
              <w:rPr>
                <w:rFonts w:ascii="Lucida Sans Unicode" w:hAnsi="Lucida Sans Unicode" w:cs="Lucida Sans Unicode"/>
                <w:b/>
                <w:sz w:val="22"/>
                <w:szCs w:val="22"/>
              </w:rPr>
            </w:pPr>
            <w:r>
              <w:rPr>
                <w:rFonts w:ascii="Lucida Sans Unicode" w:hAnsi="Lucida Sans Unicode" w:cs="Lucida Sans Unicode"/>
                <w:b/>
                <w:sz w:val="22"/>
                <w:szCs w:val="22"/>
              </w:rPr>
              <w:t>Dodd Frank</w:t>
            </w:r>
          </w:p>
        </w:tc>
        <w:tc>
          <w:tcPr>
            <w:tcW w:w="10620" w:type="dxa"/>
            <w:gridSpan w:val="3"/>
            <w:tcBorders>
              <w:top w:val="single" w:sz="18" w:space="0" w:color="FFFFFF"/>
              <w:bottom w:val="single" w:sz="18" w:space="0" w:color="FFFFFF"/>
            </w:tcBorders>
            <w:shd w:val="clear" w:color="000000" w:fill="FFFFFF" w:themeFill="background1"/>
          </w:tcPr>
          <w:p w:rsidR="009515A6" w:rsidRPr="00AD72F6" w:rsidRDefault="00A12067" w:rsidP="00EF5244">
            <w:pPr>
              <w:widowControl w:val="0"/>
            </w:pPr>
            <w:r>
              <w:t>Futures trading</w:t>
            </w:r>
            <w:r w:rsidR="009515A6">
              <w:t xml:space="preserve"> provisions</w:t>
            </w:r>
            <w:r w:rsidR="00820F08">
              <w:t>.</w:t>
            </w:r>
          </w:p>
        </w:tc>
      </w:tr>
      <w:tr w:rsidR="009515A6" w:rsidTr="001A3661">
        <w:tc>
          <w:tcPr>
            <w:tcW w:w="4608" w:type="dxa"/>
            <w:tcBorders>
              <w:top w:val="single" w:sz="18" w:space="0" w:color="FFFFFF"/>
              <w:bottom w:val="nil"/>
            </w:tcBorders>
            <w:shd w:val="clear" w:color="000000" w:fill="D9D9D9" w:themeFill="background1" w:themeFillShade="D9"/>
          </w:tcPr>
          <w:p w:rsidR="009515A6" w:rsidRDefault="009515A6" w:rsidP="00672135">
            <w:pPr>
              <w:widowControl w:val="0"/>
              <w:spacing w:before="100" w:beforeAutospacing="1" w:after="100" w:afterAutospacing="1"/>
              <w:rPr>
                <w:rFonts w:ascii="Lucida Sans Unicode" w:hAnsi="Lucida Sans Unicode" w:cs="Lucida Sans Unicode"/>
                <w:b/>
                <w:sz w:val="22"/>
                <w:szCs w:val="22"/>
              </w:rPr>
            </w:pPr>
          </w:p>
        </w:tc>
        <w:tc>
          <w:tcPr>
            <w:tcW w:w="10620" w:type="dxa"/>
            <w:gridSpan w:val="3"/>
            <w:tcBorders>
              <w:top w:val="single" w:sz="18" w:space="0" w:color="FFFFFF"/>
              <w:bottom w:val="nil"/>
            </w:tcBorders>
            <w:shd w:val="clear" w:color="000000" w:fill="D9D9D9" w:themeFill="background1" w:themeFillShade="D9"/>
          </w:tcPr>
          <w:p w:rsidR="009515A6" w:rsidRDefault="009515A6" w:rsidP="00EF5244">
            <w:pPr>
              <w:widowControl w:val="0"/>
            </w:pPr>
          </w:p>
        </w:tc>
      </w:tr>
    </w:tbl>
    <w:p w:rsidR="00760825" w:rsidRDefault="00760825" w:rsidP="00FC0D72">
      <w:pPr>
        <w:widowControl w:val="0"/>
        <w:spacing w:before="100" w:beforeAutospacing="1" w:after="100" w:afterAutospacing="1"/>
      </w:pPr>
    </w:p>
    <w:sectPr w:rsidR="00760825" w:rsidSect="00A81E32">
      <w:headerReference w:type="default" r:id="rId11"/>
      <w:footerReference w:type="even" r:id="rId12"/>
      <w:footerReference w:type="default" r:id="rId13"/>
      <w:pgSz w:w="15840" w:h="12240" w:orient="landscape" w:code="1"/>
      <w:pgMar w:top="576" w:right="360" w:bottom="576" w:left="432"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2F6" w:rsidRDefault="00AD72F6">
      <w:r>
        <w:separator/>
      </w:r>
    </w:p>
  </w:endnote>
  <w:endnote w:type="continuationSeparator" w:id="0">
    <w:p w:rsidR="00AD72F6" w:rsidRDefault="00AD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F6" w:rsidRDefault="00AD72F6" w:rsidP="003920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72F6" w:rsidRDefault="00AD72F6" w:rsidP="006F6A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F6" w:rsidRDefault="00AD72F6" w:rsidP="0078389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2F6" w:rsidRDefault="00AD72F6">
      <w:r>
        <w:separator/>
      </w:r>
    </w:p>
  </w:footnote>
  <w:footnote w:type="continuationSeparator" w:id="0">
    <w:p w:rsidR="00AD72F6" w:rsidRDefault="00AD72F6">
      <w:r>
        <w:continuationSeparator/>
      </w:r>
    </w:p>
  </w:footnote>
  <w:footnote w:id="1">
    <w:p w:rsidR="00EF5244" w:rsidRDefault="00EF5244" w:rsidP="00EF5244">
      <w:pPr>
        <w:pStyle w:val="FootnoteText"/>
      </w:pPr>
      <w:r>
        <w:rPr>
          <w:rStyle w:val="FootnoteReference"/>
        </w:rPr>
        <w:footnoteRef/>
      </w:r>
      <w:r>
        <w:t xml:space="preserve"> Performance disclosure required for each and every trading advisor.</w:t>
      </w:r>
    </w:p>
  </w:footnote>
  <w:footnote w:id="2">
    <w:p w:rsidR="00EF5244" w:rsidRDefault="00EF5244" w:rsidP="00EF5244">
      <w:pPr>
        <w:pStyle w:val="FootnoteText"/>
      </w:pPr>
      <w:r>
        <w:rPr>
          <w:rStyle w:val="FootnoteReference"/>
        </w:rPr>
        <w:footnoteRef/>
      </w:r>
      <w:r>
        <w:t xml:space="preserve"> Commodity pools may only trade securities that are approved by the CFTC.</w:t>
      </w:r>
    </w:p>
  </w:footnote>
  <w:footnote w:id="3">
    <w:p w:rsidR="00EF5244" w:rsidRDefault="00EF5244" w:rsidP="00EF5244">
      <w:pPr>
        <w:pStyle w:val="FootnoteText"/>
      </w:pPr>
      <w:r>
        <w:rPr>
          <w:rStyle w:val="FootnoteReference"/>
        </w:rPr>
        <w:footnoteRef/>
      </w:r>
      <w:r>
        <w:t xml:space="preserve"> Single Advisor versus multi-advisor fund affects disclosure document.</w:t>
      </w:r>
    </w:p>
  </w:footnote>
  <w:footnote w:id="4">
    <w:p w:rsidR="007B4417" w:rsidRDefault="007B4417" w:rsidP="007B4417">
      <w:pPr>
        <w:pStyle w:val="FootnoteText"/>
      </w:pPr>
      <w:r>
        <w:rPr>
          <w:rStyle w:val="FootnoteReference"/>
        </w:rPr>
        <w:footnoteRef/>
      </w:r>
      <w:r>
        <w:t xml:space="preserve"> Performance disclosure required for each and every trading advisor.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F6" w:rsidRDefault="00A03EE6" w:rsidP="00A36706">
    <w:pPr>
      <w:pStyle w:val="Header"/>
      <w:jc w:val="right"/>
      <w:rPr>
        <w:rFonts w:ascii="Arial" w:hAnsi="Arial" w:cs="Arial"/>
        <w:sz w:val="20"/>
      </w:rPr>
    </w:pPr>
    <w:r>
      <w:rPr>
        <w:rFonts w:ascii="Arial" w:hAnsi="Arial" w:cs="Arial"/>
        <w:sz w:val="20"/>
      </w:rPr>
      <w:t>April 1</w:t>
    </w:r>
    <w:r w:rsidR="00AD72F6">
      <w:rPr>
        <w:rFonts w:ascii="Arial" w:hAnsi="Arial" w:cs="Arial"/>
        <w:sz w:val="20"/>
      </w:rPr>
      <w:t xml:space="preserve">, 2011       </w:t>
    </w:r>
    <w:r w:rsidR="00AD72F6" w:rsidRPr="00783894">
      <w:rPr>
        <w:rFonts w:ascii="Arial" w:hAnsi="Arial" w:cs="Arial"/>
        <w:sz w:val="20"/>
      </w:rPr>
      <w:t xml:space="preserve">Page </w:t>
    </w:r>
    <w:r w:rsidR="00AD72F6" w:rsidRPr="00783894">
      <w:rPr>
        <w:rFonts w:ascii="Arial" w:hAnsi="Arial" w:cs="Arial"/>
        <w:sz w:val="20"/>
      </w:rPr>
      <w:fldChar w:fldCharType="begin"/>
    </w:r>
    <w:r w:rsidR="00AD72F6" w:rsidRPr="00783894">
      <w:rPr>
        <w:rFonts w:ascii="Arial" w:hAnsi="Arial" w:cs="Arial"/>
        <w:sz w:val="20"/>
      </w:rPr>
      <w:instrText xml:space="preserve"> PAGE </w:instrText>
    </w:r>
    <w:r w:rsidR="00AD72F6" w:rsidRPr="00783894">
      <w:rPr>
        <w:rFonts w:ascii="Arial" w:hAnsi="Arial" w:cs="Arial"/>
        <w:sz w:val="20"/>
      </w:rPr>
      <w:fldChar w:fldCharType="separate"/>
    </w:r>
    <w:r>
      <w:rPr>
        <w:rFonts w:ascii="Arial" w:hAnsi="Arial" w:cs="Arial"/>
        <w:noProof/>
        <w:sz w:val="20"/>
      </w:rPr>
      <w:t>1</w:t>
    </w:r>
    <w:r w:rsidR="00AD72F6" w:rsidRPr="00783894">
      <w:rPr>
        <w:rFonts w:ascii="Arial" w:hAnsi="Arial" w:cs="Arial"/>
        <w:sz w:val="20"/>
      </w:rPr>
      <w:fldChar w:fldCharType="end"/>
    </w:r>
    <w:r w:rsidR="00AD72F6" w:rsidRPr="00783894">
      <w:rPr>
        <w:rFonts w:ascii="Arial" w:hAnsi="Arial" w:cs="Arial"/>
        <w:sz w:val="20"/>
      </w:rPr>
      <w:t xml:space="preserve"> of </w:t>
    </w:r>
    <w:r w:rsidR="00AD72F6" w:rsidRPr="00783894">
      <w:rPr>
        <w:rFonts w:ascii="Arial" w:hAnsi="Arial" w:cs="Arial"/>
        <w:sz w:val="20"/>
      </w:rPr>
      <w:fldChar w:fldCharType="begin"/>
    </w:r>
    <w:r w:rsidR="00AD72F6" w:rsidRPr="00783894">
      <w:rPr>
        <w:rFonts w:ascii="Arial" w:hAnsi="Arial" w:cs="Arial"/>
        <w:sz w:val="20"/>
      </w:rPr>
      <w:instrText xml:space="preserve"> NUMPAGES </w:instrText>
    </w:r>
    <w:r w:rsidR="00AD72F6" w:rsidRPr="00783894">
      <w:rPr>
        <w:rFonts w:ascii="Arial" w:hAnsi="Arial" w:cs="Arial"/>
        <w:sz w:val="20"/>
      </w:rPr>
      <w:fldChar w:fldCharType="separate"/>
    </w:r>
    <w:r>
      <w:rPr>
        <w:rFonts w:ascii="Arial" w:hAnsi="Arial" w:cs="Arial"/>
        <w:noProof/>
        <w:sz w:val="20"/>
      </w:rPr>
      <w:t>5</w:t>
    </w:r>
    <w:r w:rsidR="00AD72F6" w:rsidRPr="00783894">
      <w:rPr>
        <w:rFonts w:ascii="Arial" w:hAnsi="Arial" w:cs="Arial"/>
        <w:sz w:val="20"/>
      </w:rPr>
      <w:fldChar w:fldCharType="end"/>
    </w:r>
  </w:p>
  <w:p w:rsidR="00AD72F6" w:rsidRPr="00783894" w:rsidRDefault="00AD72F6" w:rsidP="00A36706">
    <w:pPr>
      <w:pStyle w:val="Header"/>
      <w:jc w:val="right"/>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4EAD"/>
    <w:multiLevelType w:val="hybridMultilevel"/>
    <w:tmpl w:val="018A85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EA3F44"/>
    <w:multiLevelType w:val="hybridMultilevel"/>
    <w:tmpl w:val="A1A4C1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6632B7F"/>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3">
    <w:nsid w:val="12FA2A3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63613E9"/>
    <w:multiLevelType w:val="hybridMultilevel"/>
    <w:tmpl w:val="242AB28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920638C"/>
    <w:multiLevelType w:val="hybridMultilevel"/>
    <w:tmpl w:val="6BBC8B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AA9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5F519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76B1F5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7"/>
  </w:num>
  <w:num w:numId="3">
    <w:abstractNumId w:val="8"/>
  </w:num>
  <w:num w:numId="4">
    <w:abstractNumId w:val="6"/>
  </w:num>
  <w:num w:numId="5">
    <w:abstractNumId w:val="3"/>
  </w:num>
  <w:num w:numId="6">
    <w:abstractNumId w:val="0"/>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91E"/>
    <w:rsid w:val="00066DD3"/>
    <w:rsid w:val="000763BB"/>
    <w:rsid w:val="00082EBE"/>
    <w:rsid w:val="000910FE"/>
    <w:rsid w:val="000923EF"/>
    <w:rsid w:val="000A432B"/>
    <w:rsid w:val="00101851"/>
    <w:rsid w:val="00107996"/>
    <w:rsid w:val="00116AC8"/>
    <w:rsid w:val="00124C7C"/>
    <w:rsid w:val="00137C1C"/>
    <w:rsid w:val="0014491E"/>
    <w:rsid w:val="001506C5"/>
    <w:rsid w:val="0015686B"/>
    <w:rsid w:val="0019676B"/>
    <w:rsid w:val="0019706F"/>
    <w:rsid w:val="001A7F04"/>
    <w:rsid w:val="001B16C8"/>
    <w:rsid w:val="001C4674"/>
    <w:rsid w:val="001D2025"/>
    <w:rsid w:val="001D48C2"/>
    <w:rsid w:val="001D7816"/>
    <w:rsid w:val="001F5026"/>
    <w:rsid w:val="00221F2D"/>
    <w:rsid w:val="00242194"/>
    <w:rsid w:val="00244AC9"/>
    <w:rsid w:val="002464F5"/>
    <w:rsid w:val="0025719D"/>
    <w:rsid w:val="00261E09"/>
    <w:rsid w:val="00265DF2"/>
    <w:rsid w:val="00293E95"/>
    <w:rsid w:val="002D37EC"/>
    <w:rsid w:val="002F7D7D"/>
    <w:rsid w:val="003320D8"/>
    <w:rsid w:val="003331D5"/>
    <w:rsid w:val="0034089E"/>
    <w:rsid w:val="00392074"/>
    <w:rsid w:val="003B33DE"/>
    <w:rsid w:val="003C3263"/>
    <w:rsid w:val="003D3F02"/>
    <w:rsid w:val="003D4F2C"/>
    <w:rsid w:val="003E7CD4"/>
    <w:rsid w:val="00405F4D"/>
    <w:rsid w:val="00411873"/>
    <w:rsid w:val="00422824"/>
    <w:rsid w:val="00435780"/>
    <w:rsid w:val="00442CDF"/>
    <w:rsid w:val="00443C15"/>
    <w:rsid w:val="0045339A"/>
    <w:rsid w:val="00467C00"/>
    <w:rsid w:val="00481B16"/>
    <w:rsid w:val="00486F50"/>
    <w:rsid w:val="004A09D1"/>
    <w:rsid w:val="004A0FBE"/>
    <w:rsid w:val="004C7932"/>
    <w:rsid w:val="004D796E"/>
    <w:rsid w:val="004E087D"/>
    <w:rsid w:val="004E483A"/>
    <w:rsid w:val="00525878"/>
    <w:rsid w:val="00533481"/>
    <w:rsid w:val="00541816"/>
    <w:rsid w:val="00542FF8"/>
    <w:rsid w:val="00552D18"/>
    <w:rsid w:val="00553AFC"/>
    <w:rsid w:val="00591F9F"/>
    <w:rsid w:val="005959F7"/>
    <w:rsid w:val="005A16B4"/>
    <w:rsid w:val="005A3A7C"/>
    <w:rsid w:val="005A3CEA"/>
    <w:rsid w:val="005C60E4"/>
    <w:rsid w:val="005E283B"/>
    <w:rsid w:val="005F3CEE"/>
    <w:rsid w:val="005F4B2D"/>
    <w:rsid w:val="005F4C31"/>
    <w:rsid w:val="005F6440"/>
    <w:rsid w:val="00615399"/>
    <w:rsid w:val="00644EAA"/>
    <w:rsid w:val="00665153"/>
    <w:rsid w:val="00672135"/>
    <w:rsid w:val="00680F1D"/>
    <w:rsid w:val="0069010A"/>
    <w:rsid w:val="00691C66"/>
    <w:rsid w:val="00693F14"/>
    <w:rsid w:val="00694C65"/>
    <w:rsid w:val="006E1CDD"/>
    <w:rsid w:val="006F1AF4"/>
    <w:rsid w:val="006F6AA6"/>
    <w:rsid w:val="00700A9F"/>
    <w:rsid w:val="00723F7A"/>
    <w:rsid w:val="00760825"/>
    <w:rsid w:val="00772EC0"/>
    <w:rsid w:val="00774E66"/>
    <w:rsid w:val="00783894"/>
    <w:rsid w:val="007A125A"/>
    <w:rsid w:val="007A1F9B"/>
    <w:rsid w:val="007A70FF"/>
    <w:rsid w:val="007B4417"/>
    <w:rsid w:val="007B7003"/>
    <w:rsid w:val="007C3326"/>
    <w:rsid w:val="00805E08"/>
    <w:rsid w:val="0081184F"/>
    <w:rsid w:val="00816727"/>
    <w:rsid w:val="00820F08"/>
    <w:rsid w:val="00824B61"/>
    <w:rsid w:val="00836DAB"/>
    <w:rsid w:val="00837671"/>
    <w:rsid w:val="008524A6"/>
    <w:rsid w:val="00864F12"/>
    <w:rsid w:val="0086705A"/>
    <w:rsid w:val="00875EB4"/>
    <w:rsid w:val="0088314B"/>
    <w:rsid w:val="008D6891"/>
    <w:rsid w:val="008D7275"/>
    <w:rsid w:val="00922B15"/>
    <w:rsid w:val="009320A8"/>
    <w:rsid w:val="00933799"/>
    <w:rsid w:val="00937912"/>
    <w:rsid w:val="009515A6"/>
    <w:rsid w:val="009949BE"/>
    <w:rsid w:val="009A252B"/>
    <w:rsid w:val="009D2832"/>
    <w:rsid w:val="009D3DB2"/>
    <w:rsid w:val="009E1246"/>
    <w:rsid w:val="009E1B2F"/>
    <w:rsid w:val="00A01B07"/>
    <w:rsid w:val="00A03EE6"/>
    <w:rsid w:val="00A12067"/>
    <w:rsid w:val="00A126BC"/>
    <w:rsid w:val="00A1473D"/>
    <w:rsid w:val="00A21739"/>
    <w:rsid w:val="00A22407"/>
    <w:rsid w:val="00A22BC1"/>
    <w:rsid w:val="00A36706"/>
    <w:rsid w:val="00A5198D"/>
    <w:rsid w:val="00A56ED1"/>
    <w:rsid w:val="00A616DE"/>
    <w:rsid w:val="00A7161E"/>
    <w:rsid w:val="00A81E32"/>
    <w:rsid w:val="00A830EB"/>
    <w:rsid w:val="00A86F32"/>
    <w:rsid w:val="00AA3927"/>
    <w:rsid w:val="00AA7C2B"/>
    <w:rsid w:val="00AB7909"/>
    <w:rsid w:val="00AC08EF"/>
    <w:rsid w:val="00AD72F6"/>
    <w:rsid w:val="00AE3C39"/>
    <w:rsid w:val="00B05B3C"/>
    <w:rsid w:val="00B15DF5"/>
    <w:rsid w:val="00B233B5"/>
    <w:rsid w:val="00B32B99"/>
    <w:rsid w:val="00B34CEB"/>
    <w:rsid w:val="00B815E6"/>
    <w:rsid w:val="00B90F45"/>
    <w:rsid w:val="00B92327"/>
    <w:rsid w:val="00B9632A"/>
    <w:rsid w:val="00BC27A1"/>
    <w:rsid w:val="00BE5549"/>
    <w:rsid w:val="00BF08B0"/>
    <w:rsid w:val="00BF2365"/>
    <w:rsid w:val="00C11F50"/>
    <w:rsid w:val="00C547C2"/>
    <w:rsid w:val="00C55EBC"/>
    <w:rsid w:val="00C57525"/>
    <w:rsid w:val="00C8088D"/>
    <w:rsid w:val="00C86144"/>
    <w:rsid w:val="00CB679C"/>
    <w:rsid w:val="00CB69BB"/>
    <w:rsid w:val="00CC699C"/>
    <w:rsid w:val="00CD2EDA"/>
    <w:rsid w:val="00D14071"/>
    <w:rsid w:val="00D41B65"/>
    <w:rsid w:val="00D45908"/>
    <w:rsid w:val="00D6061F"/>
    <w:rsid w:val="00D7230A"/>
    <w:rsid w:val="00D770B4"/>
    <w:rsid w:val="00D82159"/>
    <w:rsid w:val="00DA3B75"/>
    <w:rsid w:val="00DA3D06"/>
    <w:rsid w:val="00DB0782"/>
    <w:rsid w:val="00DB12D1"/>
    <w:rsid w:val="00DB3833"/>
    <w:rsid w:val="00DD2E1F"/>
    <w:rsid w:val="00DD6E20"/>
    <w:rsid w:val="00E029CB"/>
    <w:rsid w:val="00E20EE8"/>
    <w:rsid w:val="00E30EB2"/>
    <w:rsid w:val="00E330EA"/>
    <w:rsid w:val="00E64AB6"/>
    <w:rsid w:val="00E81531"/>
    <w:rsid w:val="00EB6462"/>
    <w:rsid w:val="00EF5244"/>
    <w:rsid w:val="00F07504"/>
    <w:rsid w:val="00F22ECF"/>
    <w:rsid w:val="00F23393"/>
    <w:rsid w:val="00F2714D"/>
    <w:rsid w:val="00F36C1E"/>
    <w:rsid w:val="00F4560B"/>
    <w:rsid w:val="00F524DF"/>
    <w:rsid w:val="00F76043"/>
    <w:rsid w:val="00F81A32"/>
    <w:rsid w:val="00F8618A"/>
    <w:rsid w:val="00F90BD8"/>
    <w:rsid w:val="00FB1443"/>
    <w:rsid w:val="00FB4290"/>
    <w:rsid w:val="00FB4C11"/>
    <w:rsid w:val="00FC0D72"/>
    <w:rsid w:val="00FC1ABC"/>
    <w:rsid w:val="00FD6C97"/>
    <w:rsid w:val="00FE1F88"/>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rPr>
  </w:style>
  <w:style w:type="character" w:customStyle="1" w:styleId="TitleChar">
    <w:name w:val="Title Char"/>
    <w:basedOn w:val="DefaultParagraphFont"/>
    <w:link w:val="Title"/>
    <w:uiPriority w:val="10"/>
    <w:rsid w:val="008F5462"/>
    <w:rPr>
      <w:rFonts w:asciiTheme="majorHAnsi" w:eastAsiaTheme="majorEastAsia" w:hAnsiTheme="majorHAnsi" w:cstheme="majorBidi"/>
      <w:b/>
      <w:bCs/>
      <w:kern w:val="28"/>
      <w:sz w:val="32"/>
      <w:szCs w:val="32"/>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rsid w:val="008F5462"/>
  </w:style>
  <w:style w:type="character" w:styleId="FootnoteReference">
    <w:name w:val="footnote reference"/>
    <w:basedOn w:val="DefaultParagraphFont"/>
    <w:uiPriority w:val="99"/>
    <w:semiHidden/>
    <w:rPr>
      <w:vertAlign w:val="superscript"/>
    </w:rPr>
  </w:style>
  <w:style w:type="paragraph" w:styleId="Footer">
    <w:name w:val="footer"/>
    <w:basedOn w:val="Normal"/>
    <w:link w:val="FooterChar"/>
    <w:uiPriority w:val="99"/>
    <w:rsid w:val="006F6AA6"/>
    <w:pPr>
      <w:tabs>
        <w:tab w:val="center" w:pos="4320"/>
        <w:tab w:val="right" w:pos="8640"/>
      </w:tabs>
    </w:pPr>
  </w:style>
  <w:style w:type="character" w:customStyle="1" w:styleId="FooterChar">
    <w:name w:val="Footer Char"/>
    <w:basedOn w:val="DefaultParagraphFont"/>
    <w:link w:val="Footer"/>
    <w:uiPriority w:val="99"/>
    <w:semiHidden/>
    <w:rsid w:val="008F5462"/>
    <w:rPr>
      <w:sz w:val="24"/>
    </w:rPr>
  </w:style>
  <w:style w:type="character" w:styleId="PageNumber">
    <w:name w:val="page number"/>
    <w:basedOn w:val="DefaultParagraphFont"/>
    <w:uiPriority w:val="99"/>
    <w:rsid w:val="006F6AA6"/>
    <w:rPr>
      <w:rFonts w:cs="Times New Roman"/>
    </w:rPr>
  </w:style>
  <w:style w:type="character" w:styleId="Hyperlink">
    <w:name w:val="Hyperlink"/>
    <w:basedOn w:val="DefaultParagraphFont"/>
    <w:uiPriority w:val="99"/>
    <w:rsid w:val="0034089E"/>
    <w:rPr>
      <w:color w:val="0000FF"/>
      <w:u w:val="single"/>
    </w:rPr>
  </w:style>
  <w:style w:type="paragraph" w:styleId="Header">
    <w:name w:val="header"/>
    <w:basedOn w:val="Normal"/>
    <w:link w:val="HeaderChar"/>
    <w:uiPriority w:val="99"/>
    <w:rsid w:val="00A36706"/>
    <w:pPr>
      <w:tabs>
        <w:tab w:val="center" w:pos="4320"/>
        <w:tab w:val="right" w:pos="8640"/>
      </w:tabs>
    </w:pPr>
  </w:style>
  <w:style w:type="character" w:customStyle="1" w:styleId="HeaderChar">
    <w:name w:val="Header Char"/>
    <w:basedOn w:val="DefaultParagraphFont"/>
    <w:link w:val="Header"/>
    <w:uiPriority w:val="99"/>
    <w:semiHidden/>
    <w:rsid w:val="008F5462"/>
    <w:rPr>
      <w:sz w:val="24"/>
    </w:rPr>
  </w:style>
  <w:style w:type="table" w:styleId="TableGrid">
    <w:name w:val="Table Grid"/>
    <w:basedOn w:val="TableNormal"/>
    <w:uiPriority w:val="59"/>
    <w:rsid w:val="00C57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uiPriority w:val="99"/>
    <w:rsid w:val="00C5752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rsid w:val="006E1CDD"/>
    <w:rPr>
      <w:rFonts w:ascii="Tahoma" w:hAnsi="Tahoma" w:cs="Tahoma"/>
      <w:sz w:val="16"/>
      <w:szCs w:val="16"/>
    </w:rPr>
  </w:style>
  <w:style w:type="character" w:customStyle="1" w:styleId="BalloonTextChar">
    <w:name w:val="Balloon Text Char"/>
    <w:basedOn w:val="DefaultParagraphFont"/>
    <w:link w:val="BalloonText"/>
    <w:uiPriority w:val="99"/>
    <w:semiHidden/>
    <w:rsid w:val="008F5462"/>
    <w:rPr>
      <w:sz w:val="0"/>
      <w:szCs w:val="0"/>
    </w:rPr>
  </w:style>
  <w:style w:type="paragraph" w:styleId="NormalWeb">
    <w:name w:val="Normal (Web)"/>
    <w:basedOn w:val="Normal"/>
    <w:uiPriority w:val="99"/>
    <w:unhideWhenUsed/>
    <w:rsid w:val="00816727"/>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rPr>
  </w:style>
  <w:style w:type="character" w:customStyle="1" w:styleId="TitleChar">
    <w:name w:val="Title Char"/>
    <w:basedOn w:val="DefaultParagraphFont"/>
    <w:link w:val="Title"/>
    <w:uiPriority w:val="10"/>
    <w:rsid w:val="008F5462"/>
    <w:rPr>
      <w:rFonts w:asciiTheme="majorHAnsi" w:eastAsiaTheme="majorEastAsia" w:hAnsiTheme="majorHAnsi" w:cstheme="majorBidi"/>
      <w:b/>
      <w:bCs/>
      <w:kern w:val="28"/>
      <w:sz w:val="32"/>
      <w:szCs w:val="32"/>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rsid w:val="008F5462"/>
  </w:style>
  <w:style w:type="character" w:styleId="FootnoteReference">
    <w:name w:val="footnote reference"/>
    <w:basedOn w:val="DefaultParagraphFont"/>
    <w:uiPriority w:val="99"/>
    <w:semiHidden/>
    <w:rPr>
      <w:vertAlign w:val="superscript"/>
    </w:rPr>
  </w:style>
  <w:style w:type="paragraph" w:styleId="Footer">
    <w:name w:val="footer"/>
    <w:basedOn w:val="Normal"/>
    <w:link w:val="FooterChar"/>
    <w:uiPriority w:val="99"/>
    <w:rsid w:val="006F6AA6"/>
    <w:pPr>
      <w:tabs>
        <w:tab w:val="center" w:pos="4320"/>
        <w:tab w:val="right" w:pos="8640"/>
      </w:tabs>
    </w:pPr>
  </w:style>
  <w:style w:type="character" w:customStyle="1" w:styleId="FooterChar">
    <w:name w:val="Footer Char"/>
    <w:basedOn w:val="DefaultParagraphFont"/>
    <w:link w:val="Footer"/>
    <w:uiPriority w:val="99"/>
    <w:semiHidden/>
    <w:rsid w:val="008F5462"/>
    <w:rPr>
      <w:sz w:val="24"/>
    </w:rPr>
  </w:style>
  <w:style w:type="character" w:styleId="PageNumber">
    <w:name w:val="page number"/>
    <w:basedOn w:val="DefaultParagraphFont"/>
    <w:uiPriority w:val="99"/>
    <w:rsid w:val="006F6AA6"/>
    <w:rPr>
      <w:rFonts w:cs="Times New Roman"/>
    </w:rPr>
  </w:style>
  <w:style w:type="character" w:styleId="Hyperlink">
    <w:name w:val="Hyperlink"/>
    <w:basedOn w:val="DefaultParagraphFont"/>
    <w:uiPriority w:val="99"/>
    <w:rsid w:val="0034089E"/>
    <w:rPr>
      <w:color w:val="0000FF"/>
      <w:u w:val="single"/>
    </w:rPr>
  </w:style>
  <w:style w:type="paragraph" w:styleId="Header">
    <w:name w:val="header"/>
    <w:basedOn w:val="Normal"/>
    <w:link w:val="HeaderChar"/>
    <w:uiPriority w:val="99"/>
    <w:rsid w:val="00A36706"/>
    <w:pPr>
      <w:tabs>
        <w:tab w:val="center" w:pos="4320"/>
        <w:tab w:val="right" w:pos="8640"/>
      </w:tabs>
    </w:pPr>
  </w:style>
  <w:style w:type="character" w:customStyle="1" w:styleId="HeaderChar">
    <w:name w:val="Header Char"/>
    <w:basedOn w:val="DefaultParagraphFont"/>
    <w:link w:val="Header"/>
    <w:uiPriority w:val="99"/>
    <w:semiHidden/>
    <w:rsid w:val="008F5462"/>
    <w:rPr>
      <w:sz w:val="24"/>
    </w:rPr>
  </w:style>
  <w:style w:type="table" w:styleId="TableGrid">
    <w:name w:val="Table Grid"/>
    <w:basedOn w:val="TableNormal"/>
    <w:uiPriority w:val="59"/>
    <w:rsid w:val="00C57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uiPriority w:val="99"/>
    <w:rsid w:val="00C5752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rsid w:val="006E1CDD"/>
    <w:rPr>
      <w:rFonts w:ascii="Tahoma" w:hAnsi="Tahoma" w:cs="Tahoma"/>
      <w:sz w:val="16"/>
      <w:szCs w:val="16"/>
    </w:rPr>
  </w:style>
  <w:style w:type="character" w:customStyle="1" w:styleId="BalloonTextChar">
    <w:name w:val="Balloon Text Char"/>
    <w:basedOn w:val="DefaultParagraphFont"/>
    <w:link w:val="BalloonText"/>
    <w:uiPriority w:val="99"/>
    <w:semiHidden/>
    <w:rsid w:val="008F5462"/>
    <w:rPr>
      <w:sz w:val="0"/>
      <w:szCs w:val="0"/>
    </w:rPr>
  </w:style>
  <w:style w:type="paragraph" w:styleId="NormalWeb">
    <w:name w:val="Normal (Web)"/>
    <w:basedOn w:val="Normal"/>
    <w:uiPriority w:val="99"/>
    <w:unhideWhenUsed/>
    <w:rsid w:val="00816727"/>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88727">
      <w:bodyDiv w:val="1"/>
      <w:marLeft w:val="0"/>
      <w:marRight w:val="0"/>
      <w:marTop w:val="0"/>
      <w:marBottom w:val="0"/>
      <w:divBdr>
        <w:top w:val="none" w:sz="0" w:space="0" w:color="auto"/>
        <w:left w:val="none" w:sz="0" w:space="0" w:color="auto"/>
        <w:bottom w:val="none" w:sz="0" w:space="0" w:color="auto"/>
        <w:right w:val="none" w:sz="0" w:space="0" w:color="auto"/>
      </w:divBdr>
      <w:divsChild>
        <w:div w:id="226233651">
          <w:marLeft w:val="0"/>
          <w:marRight w:val="0"/>
          <w:marTop w:val="0"/>
          <w:marBottom w:val="0"/>
          <w:divBdr>
            <w:top w:val="none" w:sz="0" w:space="0" w:color="auto"/>
            <w:left w:val="none" w:sz="0" w:space="0" w:color="auto"/>
            <w:bottom w:val="none" w:sz="0" w:space="0" w:color="auto"/>
            <w:right w:val="none" w:sz="0" w:space="0" w:color="auto"/>
          </w:divBdr>
          <w:divsChild>
            <w:div w:id="649946306">
              <w:marLeft w:val="0"/>
              <w:marRight w:val="0"/>
              <w:marTop w:val="0"/>
              <w:marBottom w:val="0"/>
              <w:divBdr>
                <w:top w:val="none" w:sz="0" w:space="0" w:color="auto"/>
                <w:left w:val="none" w:sz="0" w:space="0" w:color="auto"/>
                <w:bottom w:val="none" w:sz="0" w:space="0" w:color="auto"/>
                <w:right w:val="none" w:sz="0" w:space="0" w:color="auto"/>
              </w:divBdr>
              <w:divsChild>
                <w:div w:id="1987589108">
                  <w:marLeft w:val="0"/>
                  <w:marRight w:val="0"/>
                  <w:marTop w:val="0"/>
                  <w:marBottom w:val="0"/>
                  <w:divBdr>
                    <w:top w:val="none" w:sz="0" w:space="0" w:color="auto"/>
                    <w:left w:val="none" w:sz="0" w:space="0" w:color="auto"/>
                    <w:bottom w:val="none" w:sz="0" w:space="0" w:color="auto"/>
                    <w:right w:val="none" w:sz="0" w:space="0" w:color="auto"/>
                  </w:divBdr>
                  <w:divsChild>
                    <w:div w:id="967004756">
                      <w:marLeft w:val="0"/>
                      <w:marRight w:val="0"/>
                      <w:marTop w:val="0"/>
                      <w:marBottom w:val="0"/>
                      <w:divBdr>
                        <w:top w:val="none" w:sz="0" w:space="0" w:color="auto"/>
                        <w:left w:val="none" w:sz="0" w:space="0" w:color="auto"/>
                        <w:bottom w:val="none" w:sz="0" w:space="0" w:color="auto"/>
                        <w:right w:val="none" w:sz="0" w:space="0" w:color="auto"/>
                      </w:divBdr>
                      <w:divsChild>
                        <w:div w:id="328020366">
                          <w:marLeft w:val="0"/>
                          <w:marRight w:val="0"/>
                          <w:marTop w:val="0"/>
                          <w:marBottom w:val="0"/>
                          <w:divBdr>
                            <w:top w:val="none" w:sz="0" w:space="0" w:color="auto"/>
                            <w:left w:val="none" w:sz="0" w:space="0" w:color="auto"/>
                            <w:bottom w:val="none" w:sz="0" w:space="0" w:color="auto"/>
                            <w:right w:val="none" w:sz="0" w:space="0" w:color="auto"/>
                          </w:divBdr>
                          <w:divsChild>
                            <w:div w:id="13730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fhlaw.com" TargetMode="External"/><Relationship Id="rId4" Type="http://schemas.microsoft.com/office/2007/relationships/stylesWithEffects" Target="stylesWithEffects.xml"/><Relationship Id="rId9" Type="http://schemas.openxmlformats.org/officeDocument/2006/relationships/hyperlink" Target="mailto:nfallon@nfhlaw.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3F48D-BF8E-44E8-9A0E-7ECA6FFF4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NANCY FALLON-HOULE, P</vt:lpstr>
    </vt:vector>
  </TitlesOfParts>
  <Company>Nancy Fallon-Houle, P.C.</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NANCY FALLON-HOULE, P</dc:title>
  <dc:creator>Nancy Fallon-Houle</dc:creator>
  <cp:lastModifiedBy>Fallon-Houle, Nancy</cp:lastModifiedBy>
  <cp:revision>2</cp:revision>
  <cp:lastPrinted>2011-04-01T20:08:00Z</cp:lastPrinted>
  <dcterms:created xsi:type="dcterms:W3CDTF">2011-04-01T22:53:00Z</dcterms:created>
  <dcterms:modified xsi:type="dcterms:W3CDTF">2011-04-01T22:53:00Z</dcterms:modified>
</cp:coreProperties>
</file>